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4BB24C6D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122ACE2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0F32D4B5" w14:textId="77777777" w:rsidR="001E2B69" w:rsidRPr="00896D96" w:rsidRDefault="001E2B69"/>
    <w:p w14:paraId="2C16DBE0" w14:textId="7829E1EF" w:rsidR="004321DA" w:rsidRPr="00896D96" w:rsidRDefault="004321DA">
      <w:r w:rsidRPr="00896D96">
        <w:t xml:space="preserve">KLASA: </w:t>
      </w:r>
      <w:r w:rsidR="00CC4F91">
        <w:t>3</w:t>
      </w:r>
      <w:r w:rsidR="005236EE">
        <w:t>6</w:t>
      </w:r>
      <w:r w:rsidR="00855EE4">
        <w:t>0</w:t>
      </w:r>
      <w:r w:rsidRPr="00896D96">
        <w:t>-0</w:t>
      </w:r>
      <w:r w:rsidR="007D2AC1">
        <w:t>1</w:t>
      </w:r>
      <w:r w:rsidRPr="00896D96">
        <w:t>/</w:t>
      </w:r>
      <w:r w:rsidR="00B82579">
        <w:t>2</w:t>
      </w:r>
      <w:r w:rsidR="00855EE4">
        <w:t>1</w:t>
      </w:r>
      <w:r w:rsidRPr="00896D96">
        <w:t>-01/</w:t>
      </w:r>
      <w:r w:rsidR="00CC4F91">
        <w:t>0</w:t>
      </w:r>
      <w:r w:rsidR="00B82579">
        <w:t>1</w:t>
      </w:r>
    </w:p>
    <w:p w14:paraId="3804F8CB" w14:textId="12FE8D5A" w:rsidR="00766C6B" w:rsidRDefault="004321DA">
      <w:r w:rsidRPr="00896D96">
        <w:t>URBROJ:</w:t>
      </w:r>
      <w:r w:rsidR="00CC4F91">
        <w:t xml:space="preserve"> </w:t>
      </w:r>
      <w:r w:rsidR="00766C6B">
        <w:t>2117-9-03/1-22-4</w:t>
      </w:r>
    </w:p>
    <w:p w14:paraId="41BCBE6B" w14:textId="05DADAB5" w:rsidR="004321DA" w:rsidRPr="00896D96" w:rsidRDefault="004321DA">
      <w:r w:rsidRPr="00896D96">
        <w:t xml:space="preserve">Korčula, </w:t>
      </w:r>
      <w:r w:rsidR="00052899">
        <w:t>19</w:t>
      </w:r>
      <w:r w:rsidRPr="00896D96">
        <w:t>.</w:t>
      </w:r>
      <w:r w:rsidR="00052899">
        <w:t xml:space="preserve"> listopada</w:t>
      </w:r>
      <w:r w:rsidRPr="00896D96">
        <w:t xml:space="preserve"> 20</w:t>
      </w:r>
      <w:r w:rsidR="00B82579">
        <w:t>2</w:t>
      </w:r>
      <w:r w:rsidR="00052899">
        <w:t>2</w:t>
      </w:r>
      <w:r w:rsidRPr="00896D96">
        <w:t>.</w:t>
      </w:r>
    </w:p>
    <w:p w14:paraId="00E1F454" w14:textId="77777777" w:rsidR="00AF501B" w:rsidRPr="00896D96" w:rsidRDefault="00AF501B"/>
    <w:p w14:paraId="7766EBBE" w14:textId="7D2C3DBC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>/13</w:t>
      </w:r>
      <w:r w:rsidR="00C52A1D">
        <w:t xml:space="preserve">, </w:t>
      </w:r>
      <w:r w:rsidR="00F5700B">
        <w:t>85</w:t>
      </w:r>
      <w:r w:rsidR="00AF501B" w:rsidRPr="00896D96">
        <w:t>/1</w:t>
      </w:r>
      <w:r w:rsidR="00F5700B">
        <w:t>5</w:t>
      </w:r>
      <w:r w:rsidR="00C52A1D">
        <w:t xml:space="preserve"> i 69/22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5EDE7855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F146FC">
        <w:t xml:space="preserve">odluke o </w:t>
      </w:r>
      <w:r w:rsidR="007C3B56">
        <w:t xml:space="preserve">privremenoj </w:t>
      </w:r>
      <w:r w:rsidR="00B82579">
        <w:t>zabrani izvođenja građevinskih radova na području Grada Korčule u 202</w:t>
      </w:r>
      <w:r w:rsidR="00C0455A">
        <w:t>3</w:t>
      </w:r>
      <w:r w:rsidR="00B82579">
        <w:t>. godini.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52C56998" w14:textId="3C1AAE1E" w:rsidR="00AD1DD5" w:rsidRPr="00896D96" w:rsidRDefault="00CD02EA" w:rsidP="00CD02EA">
      <w:pPr>
        <w:jc w:val="both"/>
      </w:pPr>
      <w:r w:rsidRPr="00896D96">
        <w:tab/>
      </w:r>
      <w:r w:rsidR="00AD1DD5" w:rsidRPr="00896D96">
        <w:t>Svrha savjetovanja je pribavljan</w:t>
      </w:r>
      <w:r w:rsidR="00CB3810">
        <w:t>j</w:t>
      </w:r>
      <w:r w:rsidR="00AD1DD5" w:rsidRPr="00896D96">
        <w:t>e mišljenja, prijedloga i primjedbi javnosti</w:t>
      </w:r>
      <w:r w:rsidR="00A52E4C">
        <w:t xml:space="preserve"> na Nacrt odluke </w:t>
      </w:r>
      <w:r w:rsidR="005236EE">
        <w:t xml:space="preserve">o </w:t>
      </w:r>
      <w:r w:rsidR="007C3B56">
        <w:t xml:space="preserve">privremenoj </w:t>
      </w:r>
      <w:r w:rsidR="00B82579">
        <w:t>zabrani izvođenja građevinskih radova na području Grada Korčule u 202</w:t>
      </w:r>
      <w:r w:rsidR="00C0455A">
        <w:t>3</w:t>
      </w:r>
      <w:r w:rsidR="00B82579">
        <w:t>. godini</w:t>
      </w:r>
      <w:r w:rsidR="00AD1DD5" w:rsidRPr="00896D96">
        <w:t xml:space="preserve">. </w:t>
      </w:r>
    </w:p>
    <w:p w14:paraId="7A70D0B2" w14:textId="77777777" w:rsidR="00AD1DD5" w:rsidRPr="00896D96" w:rsidRDefault="00AD1DD5" w:rsidP="00AD1DD5">
      <w:pPr>
        <w:jc w:val="center"/>
      </w:pPr>
    </w:p>
    <w:p w14:paraId="55032CC1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7A9FDF02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30 dana, počev od </w:t>
      </w:r>
      <w:r w:rsidR="00C0455A">
        <w:t>20</w:t>
      </w:r>
      <w:r w:rsidR="00AD1DD5" w:rsidRPr="00896D96">
        <w:t xml:space="preserve">. </w:t>
      </w:r>
      <w:r w:rsidR="00C0455A">
        <w:t>listopada</w:t>
      </w:r>
      <w:r w:rsidR="00AD1DD5" w:rsidRPr="00896D96">
        <w:t xml:space="preserve"> 20</w:t>
      </w:r>
      <w:r w:rsidR="00B82579">
        <w:t>2</w:t>
      </w:r>
      <w:r w:rsidR="00924591">
        <w:t>2</w:t>
      </w:r>
      <w:r w:rsidR="00AD1DD5" w:rsidRPr="00896D96">
        <w:t xml:space="preserve">. godine pa do </w:t>
      </w:r>
      <w:r w:rsidR="00924591">
        <w:t>18</w:t>
      </w:r>
      <w:r w:rsidR="00AD1DD5" w:rsidRPr="00896D96">
        <w:t xml:space="preserve">. </w:t>
      </w:r>
      <w:r w:rsidR="00924591">
        <w:t>studenog</w:t>
      </w:r>
      <w:r w:rsidR="00AD1DD5" w:rsidRPr="00896D96">
        <w:t xml:space="preserve"> 20</w:t>
      </w:r>
      <w:r w:rsidR="00B82579">
        <w:t>2</w:t>
      </w:r>
      <w:r w:rsidR="00924591">
        <w:t>2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531421E3" w14:textId="554FB12D" w:rsidR="00CD02EA" w:rsidRDefault="00CD02EA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F146FC">
        <w:t xml:space="preserve">odluke o </w:t>
      </w:r>
      <w:r w:rsidR="00B82579">
        <w:t>privremenoj zabrani izvođenja građevinskih radova na području Grada Korčule</w:t>
      </w:r>
    </w:p>
    <w:p w14:paraId="6D4D0122" w14:textId="174BBE7A" w:rsidR="00B82579" w:rsidRDefault="00CB3810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>G</w:t>
      </w:r>
      <w:r w:rsidR="00B82579">
        <w:t>rafički prilog.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1EC3D155" w:rsidR="00617F80" w:rsidRPr="00896D96" w:rsidRDefault="00DC1E27" w:rsidP="00AF501B">
      <w:pPr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617F80">
        <w:t xml:space="preserve">Nacrtom </w:t>
      </w:r>
      <w:r w:rsidR="00A52E4C">
        <w:t xml:space="preserve">odluke o </w:t>
      </w:r>
      <w:r w:rsidR="00B82579">
        <w:t>privremenoj zabrani izvođenja gr</w:t>
      </w:r>
      <w:r w:rsidR="00526194">
        <w:t>a</w:t>
      </w:r>
      <w:r w:rsidR="00B82579">
        <w:t>đevinskih radova na području Grada Korčule s grafičkim prilogom</w:t>
      </w:r>
      <w:r w:rsidR="00617F80">
        <w:t xml:space="preserve"> objavit će se na </w:t>
      </w:r>
      <w:r w:rsidR="00F146FC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7F352480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924591">
        <w:t xml:space="preserve">  </w:t>
      </w:r>
      <w:r w:rsidR="00583519">
        <w:t xml:space="preserve">    </w:t>
      </w:r>
      <w:r w:rsidRPr="00896D96">
        <w:t>PROČELNI</w:t>
      </w:r>
      <w:r w:rsidR="00924591">
        <w:t>CA</w:t>
      </w:r>
    </w:p>
    <w:p w14:paraId="070E2365" w14:textId="4CB7C78C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    </w:t>
      </w:r>
      <w:r w:rsidR="00924591">
        <w:t>Petra Fabijanović</w:t>
      </w:r>
      <w:r w:rsidRPr="00896D96">
        <w:t>, dipl. iur.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77777777" w:rsidR="00CD02EA" w:rsidRPr="00896D96" w:rsidRDefault="00CD02EA" w:rsidP="00AF501B">
      <w:pPr>
        <w:jc w:val="both"/>
      </w:pPr>
    </w:p>
    <w:p w14:paraId="0A6FEE59" w14:textId="77777777" w:rsidR="00CD02EA" w:rsidRPr="00896D96" w:rsidRDefault="00CD02EA" w:rsidP="00AF501B">
      <w:pPr>
        <w:jc w:val="both"/>
      </w:pPr>
    </w:p>
    <w:p w14:paraId="03178DD3" w14:textId="77777777" w:rsidR="00CD02EA" w:rsidRPr="00896D96" w:rsidRDefault="00CD02EA" w:rsidP="00AF501B">
      <w:pPr>
        <w:jc w:val="both"/>
      </w:pPr>
    </w:p>
    <w:p w14:paraId="39A881B0" w14:textId="77777777" w:rsidR="00CD02EA" w:rsidRPr="00896D96" w:rsidRDefault="00CD02EA" w:rsidP="00AF501B">
      <w:pPr>
        <w:jc w:val="both"/>
      </w:pPr>
    </w:p>
    <w:p w14:paraId="108412F6" w14:textId="77777777" w:rsidR="00CD02EA" w:rsidRDefault="00CD02EA" w:rsidP="00AF501B">
      <w:pPr>
        <w:jc w:val="both"/>
      </w:pPr>
    </w:p>
    <w:p w14:paraId="35D81F90" w14:textId="77777777" w:rsidR="005236EE" w:rsidRDefault="005236EE" w:rsidP="00AF501B">
      <w:pPr>
        <w:jc w:val="both"/>
      </w:pPr>
    </w:p>
    <w:p w14:paraId="3F3FB9FE" w14:textId="77777777" w:rsidR="005236EE" w:rsidRPr="00896D96" w:rsidRDefault="005236EE" w:rsidP="00AF501B">
      <w:pPr>
        <w:jc w:val="both"/>
      </w:pPr>
    </w:p>
    <w:p w14:paraId="0ACF2795" w14:textId="77777777" w:rsidR="00CD02EA" w:rsidRPr="00896D96" w:rsidRDefault="00CD02EA" w:rsidP="00AF501B">
      <w:pPr>
        <w:jc w:val="both"/>
      </w:pPr>
    </w:p>
    <w:p w14:paraId="482E3E98" w14:textId="77777777" w:rsidR="00245DA9" w:rsidRPr="00896D96" w:rsidRDefault="00245DA9" w:rsidP="00AF501B">
      <w:pPr>
        <w:jc w:val="both"/>
      </w:pPr>
      <w:r w:rsidRPr="00896D96"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47D56894" w:rsidR="00CD02EA" w:rsidRPr="00896D96" w:rsidRDefault="00F146FC" w:rsidP="005236EE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Odluka o </w:t>
            </w:r>
            <w:r w:rsidR="007C3B56">
              <w:t xml:space="preserve">privremenoj </w:t>
            </w:r>
            <w:r w:rsidR="00526194">
              <w:rPr>
                <w:rFonts w:eastAsia="Simsun (Founder Extended)"/>
                <w:szCs w:val="22"/>
              </w:rPr>
              <w:t>zabrani izvođenja građevinskih radova na području Grada Korčule u 202</w:t>
            </w:r>
            <w:r w:rsidR="00583519">
              <w:rPr>
                <w:rFonts w:eastAsia="Simsun (Founder Extended)"/>
                <w:szCs w:val="22"/>
              </w:rPr>
              <w:t>3</w:t>
            </w:r>
            <w:r w:rsidR="00526194">
              <w:rPr>
                <w:rFonts w:eastAsia="Simsun (Founder Extended)"/>
                <w:szCs w:val="22"/>
              </w:rPr>
              <w:t>. godini</w:t>
            </w:r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D23BD47" w14:textId="77777777"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19A447C0" w:rsidR="00CD02EA" w:rsidRPr="00896D96" w:rsidRDefault="00946080" w:rsidP="005236EE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526194">
              <w:rPr>
                <w:rFonts w:eastAsia="Simsun (Founder Extended)"/>
                <w:szCs w:val="22"/>
              </w:rPr>
              <w:t xml:space="preserve">odluke o </w:t>
            </w:r>
            <w:r w:rsidR="007C3B56">
              <w:t xml:space="preserve">privremenoj </w:t>
            </w:r>
            <w:r w:rsidR="00526194">
              <w:rPr>
                <w:rFonts w:eastAsia="Simsun (Founder Extended)"/>
                <w:szCs w:val="22"/>
              </w:rPr>
              <w:t>zabrani izvođenja građevinskih radova na području Grada Korčule u 20</w:t>
            </w:r>
            <w:r w:rsidR="002732DB">
              <w:rPr>
                <w:rFonts w:eastAsia="Simsun (Founder Extended)"/>
                <w:szCs w:val="22"/>
              </w:rPr>
              <w:t>2</w:t>
            </w:r>
            <w:r w:rsidR="00583519">
              <w:rPr>
                <w:rFonts w:eastAsia="Simsun (Founder Extended)"/>
                <w:szCs w:val="22"/>
              </w:rPr>
              <w:t>3</w:t>
            </w:r>
            <w:r w:rsidR="00526194">
              <w:rPr>
                <w:rFonts w:eastAsia="Simsun (Founder Extended)"/>
                <w:szCs w:val="22"/>
              </w:rPr>
              <w:t>. godini</w:t>
            </w:r>
            <w:r w:rsidR="005236EE">
              <w:rPr>
                <w:rFonts w:eastAsia="Simsun (Founder Extended)"/>
                <w:szCs w:val="22"/>
              </w:rPr>
              <w:t xml:space="preserve"> a </w:t>
            </w:r>
            <w:r w:rsidR="00526194">
              <w:rPr>
                <w:rFonts w:eastAsia="Simsun (Founder Extended)"/>
                <w:szCs w:val="22"/>
              </w:rPr>
              <w:t>temeljem čl. 132. Zakona o gradnji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29CC55B8" w:rsidR="00946080" w:rsidRPr="00896D96" w:rsidRDefault="00946080" w:rsidP="0063018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F146FC">
              <w:rPr>
                <w:rFonts w:eastAsia="Simsun (Founder Extended)"/>
                <w:szCs w:val="22"/>
              </w:rPr>
              <w:t xml:space="preserve">odluke o </w:t>
            </w:r>
            <w:r w:rsidR="004E293F">
              <w:t xml:space="preserve">privremenoj </w:t>
            </w:r>
            <w:r w:rsidR="00526194">
              <w:rPr>
                <w:rFonts w:eastAsia="Simsun (Founder Extended)"/>
                <w:szCs w:val="22"/>
              </w:rPr>
              <w:t>zabrani izvođenja građevinskih radova na području Grada Korčule u 202</w:t>
            </w:r>
            <w:r w:rsidR="00583519">
              <w:rPr>
                <w:rFonts w:eastAsia="Simsun (Founder Extended)"/>
                <w:szCs w:val="22"/>
              </w:rPr>
              <w:t>3</w:t>
            </w:r>
            <w:r w:rsidR="00526194">
              <w:rPr>
                <w:rFonts w:eastAsia="Simsun (Founder Extended)"/>
                <w:szCs w:val="22"/>
              </w:rPr>
              <w:t>. godini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0FEC6DF1" w:rsidR="00946080" w:rsidRPr="00896D96" w:rsidRDefault="00946080" w:rsidP="0063018A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30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583519">
              <w:rPr>
                <w:rFonts w:eastAsia="Simsun (Founder Extended)"/>
                <w:szCs w:val="22"/>
              </w:rPr>
              <w:t>20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583519">
              <w:rPr>
                <w:rFonts w:eastAsia="Simsun (Founder Extended)"/>
                <w:szCs w:val="22"/>
              </w:rPr>
              <w:t>listopada</w:t>
            </w:r>
            <w:r w:rsidRPr="00896D96">
              <w:rPr>
                <w:rFonts w:eastAsia="Simsun (Founder Extended)"/>
                <w:szCs w:val="22"/>
              </w:rPr>
              <w:t xml:space="preserve"> pa do </w:t>
            </w:r>
            <w:r w:rsidR="00583519">
              <w:rPr>
                <w:rFonts w:eastAsia="Simsun (Founder Extended)"/>
                <w:szCs w:val="22"/>
              </w:rPr>
              <w:t>18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583519">
              <w:rPr>
                <w:rFonts w:eastAsia="Simsun (Founder Extended)"/>
                <w:szCs w:val="22"/>
              </w:rPr>
              <w:t>studenog</w:t>
            </w:r>
            <w:r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 w:rsidR="00583519">
              <w:rPr>
                <w:rFonts w:eastAsia="Simsun (Founder Extended)"/>
                <w:szCs w:val="22"/>
              </w:rPr>
              <w:t>2</w:t>
            </w:r>
            <w:r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291D2303" w:rsidR="00AC5DD3" w:rsidRPr="00896D96" w:rsidRDefault="00B41C72" w:rsidP="00AC5DD3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 w:rsidR="00583519">
              <w:rPr>
                <w:rFonts w:eastAsia="Simsun (Founder Extended)"/>
                <w:szCs w:val="22"/>
              </w:rPr>
              <w:t>Petri F</w:t>
            </w:r>
            <w:r w:rsidR="007D759E">
              <w:rPr>
                <w:rFonts w:eastAsia="Simsun (Founder Extended)"/>
                <w:szCs w:val="22"/>
              </w:rPr>
              <w:t>abijanović</w:t>
            </w:r>
            <w:r w:rsidRPr="00896D96">
              <w:rPr>
                <w:rFonts w:eastAsia="Simsun (Founder Extended)"/>
                <w:szCs w:val="22"/>
              </w:rPr>
              <w:t xml:space="preserve"> pročelni</w:t>
            </w:r>
            <w:r w:rsidR="007D759E"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7D759E" w:rsidRPr="00E54EA6">
                <w:rPr>
                  <w:rStyle w:val="Hyperlink"/>
                </w:rPr>
                <w:t>petra.fabijanovic</w:t>
              </w:r>
              <w:r w:rsidR="007D759E" w:rsidRPr="00E54EA6">
                <w:rPr>
                  <w:rStyle w:val="Hyperlink"/>
                  <w:rFonts w:eastAsia="Simsun (Founder Extended)"/>
                  <w:szCs w:val="22"/>
                </w:rPr>
                <w:t>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5DD4F5C4" w:rsidR="00896D96" w:rsidRP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1F014F8F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  <w:r w:rsidR="004E293F">
              <w:rPr>
                <w:rFonts w:eastAsia="Simsun (Founder Extended)"/>
                <w:szCs w:val="22"/>
              </w:rPr>
              <w:t>.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7766CF27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3A2301B4" w:rsidR="00896D96" w:rsidRDefault="00896D96" w:rsidP="00AF501B">
      <w:pPr>
        <w:jc w:val="both"/>
      </w:pPr>
    </w:p>
    <w:p w14:paraId="6C053087" w14:textId="77777777" w:rsidR="00855EE4" w:rsidRPr="00896D96" w:rsidRDefault="00855EE4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55163D81" w14:textId="77777777" w:rsidR="00617F80" w:rsidRDefault="00617F80" w:rsidP="00AF501B">
      <w:pPr>
        <w:jc w:val="both"/>
      </w:pPr>
    </w:p>
    <w:p w14:paraId="51425980" w14:textId="77777777" w:rsidR="00AC5DD3" w:rsidRDefault="00AC5DD3" w:rsidP="00AF501B">
      <w:pPr>
        <w:jc w:val="both"/>
      </w:pPr>
    </w:p>
    <w:p w14:paraId="797062F5" w14:textId="77777777" w:rsidR="00AC5DD3" w:rsidRDefault="00AC5DD3" w:rsidP="00AF501B">
      <w:pPr>
        <w:jc w:val="both"/>
      </w:pPr>
    </w:p>
    <w:p w14:paraId="5864064A" w14:textId="77777777" w:rsidR="00617F80" w:rsidRPr="00896D96" w:rsidRDefault="00617F80" w:rsidP="00AF501B">
      <w:pPr>
        <w:jc w:val="both"/>
      </w:pPr>
      <w:r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4228755A" w14:textId="77777777" w:rsidTr="00B82579">
        <w:tc>
          <w:tcPr>
            <w:tcW w:w="2943" w:type="dxa"/>
          </w:tcPr>
          <w:p w14:paraId="6779FC1A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4DC964AF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4B925662" w14:textId="77777777" w:rsidTr="00B82579">
        <w:tc>
          <w:tcPr>
            <w:tcW w:w="2943" w:type="dxa"/>
          </w:tcPr>
          <w:p w14:paraId="252AC72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717DB21B" w14:textId="77777777" w:rsidTr="00B82579">
        <w:tc>
          <w:tcPr>
            <w:tcW w:w="2943" w:type="dxa"/>
          </w:tcPr>
          <w:p w14:paraId="4808DD05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32CCD9C0" w14:textId="77777777" w:rsidTr="00B82579">
        <w:tc>
          <w:tcPr>
            <w:tcW w:w="2943" w:type="dxa"/>
          </w:tcPr>
          <w:p w14:paraId="7E26A333" w14:textId="77777777" w:rsidR="00896D96" w:rsidRPr="00617F80" w:rsidDel="005D53AE" w:rsidRDefault="00896D96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017BAF3C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6432F0CA" w14:textId="77777777" w:rsidTr="00B82579">
        <w:tc>
          <w:tcPr>
            <w:tcW w:w="2943" w:type="dxa"/>
          </w:tcPr>
          <w:p w14:paraId="5ED0A7C6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4C18CEFF" w14:textId="77777777" w:rsidTr="00B82579">
        <w:tc>
          <w:tcPr>
            <w:tcW w:w="2943" w:type="dxa"/>
          </w:tcPr>
          <w:p w14:paraId="114C6C86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EC9DC82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11D5931" w14:textId="77777777" w:rsidR="00896D96" w:rsidRPr="00896D96" w:rsidRDefault="00896D96" w:rsidP="00896D96"/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6CCB" w14:textId="77777777" w:rsidR="00387A24" w:rsidRDefault="00387A24" w:rsidP="00896D96">
      <w:r>
        <w:separator/>
      </w:r>
    </w:p>
  </w:endnote>
  <w:endnote w:type="continuationSeparator" w:id="0">
    <w:p w14:paraId="762D5DED" w14:textId="77777777" w:rsidR="00387A24" w:rsidRDefault="00387A24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668BC" w14:textId="77777777" w:rsidR="00387A24" w:rsidRDefault="00387A24" w:rsidP="00896D96">
      <w:r>
        <w:separator/>
      </w:r>
    </w:p>
  </w:footnote>
  <w:footnote w:type="continuationSeparator" w:id="0">
    <w:p w14:paraId="16BCAC3A" w14:textId="77777777" w:rsidR="00387A24" w:rsidRDefault="00387A24" w:rsidP="00896D96">
      <w:r>
        <w:continuationSeparator/>
      </w:r>
    </w:p>
  </w:footnote>
  <w:footnote w:id="1">
    <w:p w14:paraId="404F79FE" w14:textId="77777777" w:rsidR="00B82579" w:rsidRPr="00617F80" w:rsidRDefault="00B82579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B82579" w:rsidRPr="00617F80" w:rsidRDefault="00B82579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4350061">
    <w:abstractNumId w:val="0"/>
  </w:num>
  <w:num w:numId="2" w16cid:durableId="1996643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52899"/>
    <w:rsid w:val="000B1B51"/>
    <w:rsid w:val="000E22BF"/>
    <w:rsid w:val="0019424F"/>
    <w:rsid w:val="0019762F"/>
    <w:rsid w:val="001E2B69"/>
    <w:rsid w:val="00245DA9"/>
    <w:rsid w:val="002732DB"/>
    <w:rsid w:val="00366D2A"/>
    <w:rsid w:val="00387A24"/>
    <w:rsid w:val="0039629A"/>
    <w:rsid w:val="004321DA"/>
    <w:rsid w:val="0048494B"/>
    <w:rsid w:val="004D6B8C"/>
    <w:rsid w:val="004E293F"/>
    <w:rsid w:val="005236EE"/>
    <w:rsid w:val="00526194"/>
    <w:rsid w:val="00583519"/>
    <w:rsid w:val="005C7654"/>
    <w:rsid w:val="005E77F3"/>
    <w:rsid w:val="00617F80"/>
    <w:rsid w:val="0063018A"/>
    <w:rsid w:val="006736EB"/>
    <w:rsid w:val="00766C6B"/>
    <w:rsid w:val="007C3B56"/>
    <w:rsid w:val="007D2AC1"/>
    <w:rsid w:val="007D759E"/>
    <w:rsid w:val="00855EE4"/>
    <w:rsid w:val="00896D96"/>
    <w:rsid w:val="00924591"/>
    <w:rsid w:val="00946080"/>
    <w:rsid w:val="00985906"/>
    <w:rsid w:val="00A52E4C"/>
    <w:rsid w:val="00AC5DD3"/>
    <w:rsid w:val="00AD1DD5"/>
    <w:rsid w:val="00AF501B"/>
    <w:rsid w:val="00B41C72"/>
    <w:rsid w:val="00B82579"/>
    <w:rsid w:val="00BD14F9"/>
    <w:rsid w:val="00C0455A"/>
    <w:rsid w:val="00C52A1D"/>
    <w:rsid w:val="00CB3810"/>
    <w:rsid w:val="00CC4F91"/>
    <w:rsid w:val="00CD02EA"/>
    <w:rsid w:val="00D863F4"/>
    <w:rsid w:val="00DC1E27"/>
    <w:rsid w:val="00E0746A"/>
    <w:rsid w:val="00F146FC"/>
    <w:rsid w:val="00F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D7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a.fabijanov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2AA0-AC4D-4F49-8B13-A2AEE767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2021-09-06T05:47:00Z</cp:lastPrinted>
  <dcterms:created xsi:type="dcterms:W3CDTF">2022-10-26T08:20:00Z</dcterms:created>
  <dcterms:modified xsi:type="dcterms:W3CDTF">2022-10-26T08:20:00Z</dcterms:modified>
</cp:coreProperties>
</file>