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A8CF" w14:textId="2935FC18" w:rsidR="0050049F" w:rsidRDefault="00760997" w:rsidP="00760997">
      <w:pPr>
        <w:rPr>
          <w:rFonts w:ascii="Arial" w:hAnsi="Arial" w:cs="Arial"/>
          <w:b/>
          <w:i/>
          <w:u w:val="single"/>
        </w:rPr>
      </w:pPr>
      <w:r w:rsidRPr="00976D1A">
        <w:rPr>
          <w:rFonts w:ascii="Arial" w:hAnsi="Arial" w:cs="Arial"/>
          <w:b/>
          <w:i/>
          <w:u w:val="single"/>
        </w:rPr>
        <w:t>Obrazloženje ostvarenja prihoda i primitaka, rashoda i izdataka</w:t>
      </w:r>
    </w:p>
    <w:p w14:paraId="1714ED8D" w14:textId="22B270F3" w:rsidR="0071572F" w:rsidRDefault="00BE0BDD" w:rsidP="00760997">
      <w:pPr>
        <w:rPr>
          <w:rFonts w:ascii="Arial" w:hAnsi="Arial" w:cs="Arial"/>
          <w:b/>
          <w:i/>
          <w:u w:val="single"/>
        </w:rPr>
      </w:pPr>
      <w:r>
        <w:rPr>
          <w:noProof/>
        </w:rPr>
        <w:drawing>
          <wp:inline distT="0" distB="0" distL="0" distR="0" wp14:anchorId="32A3E8BA" wp14:editId="24F4FA73">
            <wp:extent cx="6324604" cy="4057649"/>
            <wp:effectExtent l="0" t="0" r="0" b="0"/>
            <wp:docPr id="9368820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BA4B1AF" w14:textId="0F8AB037" w:rsidR="0071572F" w:rsidRPr="00976D1A" w:rsidRDefault="0071572F" w:rsidP="00760997">
      <w:pPr>
        <w:rPr>
          <w:rFonts w:ascii="Arial" w:hAnsi="Arial" w:cs="Arial"/>
          <w:b/>
          <w:i/>
          <w:u w:val="single"/>
        </w:rPr>
      </w:pPr>
    </w:p>
    <w:p w14:paraId="0A55D07D" w14:textId="2A5214CC" w:rsidR="00760997" w:rsidRDefault="00760997" w:rsidP="00760997"/>
    <w:p w14:paraId="43CA6508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8AE013B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92C033C" w14:textId="4692CC22" w:rsidR="00760997" w:rsidRPr="00D07C28" w:rsidRDefault="00760997" w:rsidP="00760997">
      <w:pPr>
        <w:rPr>
          <w:rFonts w:ascii="Arial" w:hAnsi="Arial" w:cs="Arial"/>
          <w:sz w:val="20"/>
          <w:szCs w:val="20"/>
        </w:rPr>
      </w:pPr>
      <w:r w:rsidRPr="00250FF3">
        <w:rPr>
          <w:rFonts w:ascii="Arial" w:hAnsi="Arial" w:cs="Arial"/>
          <w:b/>
          <w:i/>
          <w:sz w:val="20"/>
          <w:szCs w:val="20"/>
          <w:u w:val="single"/>
        </w:rPr>
        <w:t>O prihodima i primicima</w:t>
      </w:r>
      <w:r w:rsidRPr="00D07C28">
        <w:rPr>
          <w:rFonts w:ascii="Arial" w:hAnsi="Arial" w:cs="Arial"/>
          <w:b/>
          <w:sz w:val="20"/>
          <w:szCs w:val="20"/>
        </w:rPr>
        <w:t>:</w:t>
      </w:r>
      <w:r w:rsidRPr="00D07C28">
        <w:rPr>
          <w:rFonts w:ascii="Arial" w:hAnsi="Arial" w:cs="Arial"/>
          <w:sz w:val="20"/>
          <w:szCs w:val="20"/>
        </w:rPr>
        <w:t xml:space="preserve"> </w:t>
      </w:r>
    </w:p>
    <w:p w14:paraId="1D4D1E39" w14:textId="5F79BC94" w:rsidR="00C532E3" w:rsidRPr="000268B5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sz w:val="18"/>
          <w:szCs w:val="18"/>
        </w:rPr>
        <w:t>U ovom</w:t>
      </w:r>
      <w:r w:rsidRPr="0044293B">
        <w:rPr>
          <w:rFonts w:ascii="Arial" w:hAnsi="Arial" w:cs="Arial"/>
          <w:sz w:val="18"/>
          <w:szCs w:val="18"/>
        </w:rPr>
        <w:t xml:space="preserve"> </w:t>
      </w:r>
      <w:r w:rsidR="00036AC9" w:rsidRPr="0044293B">
        <w:rPr>
          <w:rFonts w:ascii="Arial" w:hAnsi="Arial" w:cs="Arial"/>
          <w:sz w:val="18"/>
          <w:szCs w:val="18"/>
        </w:rPr>
        <w:t xml:space="preserve">izvještajnom </w:t>
      </w:r>
      <w:r w:rsidRPr="0044293B">
        <w:rPr>
          <w:rFonts w:ascii="Arial" w:hAnsi="Arial" w:cs="Arial"/>
          <w:sz w:val="18"/>
          <w:szCs w:val="18"/>
        </w:rPr>
        <w:t xml:space="preserve"> razdoblju ostvareni su tekući prihodi</w:t>
      </w:r>
      <w:r w:rsidR="003F6EE6" w:rsidRPr="0044293B">
        <w:rPr>
          <w:rFonts w:ascii="Arial" w:hAnsi="Arial" w:cs="Arial"/>
          <w:sz w:val="18"/>
          <w:szCs w:val="18"/>
        </w:rPr>
        <w:t xml:space="preserve"> Proračuna Grada Korčule za 20</w:t>
      </w:r>
      <w:r w:rsidR="00B66239" w:rsidRPr="0044293B">
        <w:rPr>
          <w:rFonts w:ascii="Arial" w:hAnsi="Arial" w:cs="Arial"/>
          <w:sz w:val="18"/>
          <w:szCs w:val="18"/>
        </w:rPr>
        <w:t>2</w:t>
      </w:r>
      <w:r w:rsidR="00A15338">
        <w:rPr>
          <w:rFonts w:ascii="Arial" w:hAnsi="Arial" w:cs="Arial"/>
          <w:sz w:val="18"/>
          <w:szCs w:val="18"/>
        </w:rPr>
        <w:t>3</w:t>
      </w:r>
      <w:r w:rsidRPr="0044293B">
        <w:rPr>
          <w:rFonts w:ascii="Arial" w:hAnsi="Arial" w:cs="Arial"/>
          <w:sz w:val="18"/>
          <w:szCs w:val="18"/>
        </w:rPr>
        <w:t xml:space="preserve">. godinu (dalje u tekstu: Proračun) u iznosu od  </w:t>
      </w:r>
      <w:r w:rsidR="00A15338">
        <w:rPr>
          <w:rFonts w:ascii="Arial" w:hAnsi="Arial" w:cs="Arial"/>
          <w:b/>
          <w:bCs/>
          <w:sz w:val="18"/>
          <w:szCs w:val="18"/>
        </w:rPr>
        <w:t>2.121.105,54</w:t>
      </w:r>
      <w:r w:rsidR="002E1181" w:rsidRPr="0044293B">
        <w:rPr>
          <w:rFonts w:ascii="Arial" w:hAnsi="Arial" w:cs="Arial"/>
          <w:sz w:val="18"/>
          <w:szCs w:val="18"/>
        </w:rPr>
        <w:t xml:space="preserve">  ili  </w:t>
      </w:r>
      <w:r w:rsidR="002C645F">
        <w:rPr>
          <w:rFonts w:ascii="Arial" w:hAnsi="Arial" w:cs="Arial"/>
          <w:sz w:val="18"/>
          <w:szCs w:val="18"/>
        </w:rPr>
        <w:t>2</w:t>
      </w:r>
      <w:r w:rsidR="00875705">
        <w:rPr>
          <w:rFonts w:ascii="Arial" w:hAnsi="Arial" w:cs="Arial"/>
          <w:sz w:val="18"/>
          <w:szCs w:val="18"/>
        </w:rPr>
        <w:t>5</w:t>
      </w:r>
      <w:r w:rsidR="00B66239" w:rsidRPr="0044293B">
        <w:rPr>
          <w:rFonts w:ascii="Arial" w:hAnsi="Arial" w:cs="Arial"/>
          <w:sz w:val="18"/>
          <w:szCs w:val="18"/>
        </w:rPr>
        <w:t>%  u odnosu na plan</w:t>
      </w:r>
      <w:r w:rsidR="00470816">
        <w:rPr>
          <w:rFonts w:ascii="Arial" w:hAnsi="Arial" w:cs="Arial"/>
          <w:sz w:val="18"/>
          <w:szCs w:val="18"/>
        </w:rPr>
        <w:t>,</w:t>
      </w:r>
      <w:r w:rsidR="00B66239" w:rsidRPr="0044293B">
        <w:rPr>
          <w:rFonts w:ascii="Arial" w:hAnsi="Arial" w:cs="Arial"/>
          <w:sz w:val="18"/>
          <w:szCs w:val="18"/>
        </w:rPr>
        <w:t xml:space="preserve"> a </w:t>
      </w:r>
      <w:r w:rsidR="00875705">
        <w:rPr>
          <w:rFonts w:ascii="Arial" w:hAnsi="Arial" w:cs="Arial"/>
          <w:sz w:val="18"/>
          <w:szCs w:val="18"/>
        </w:rPr>
        <w:t>18</w:t>
      </w:r>
      <w:r w:rsidRPr="0044293B">
        <w:rPr>
          <w:rFonts w:ascii="Arial" w:hAnsi="Arial" w:cs="Arial"/>
          <w:sz w:val="18"/>
          <w:szCs w:val="18"/>
        </w:rPr>
        <w:t xml:space="preserve">% </w:t>
      </w:r>
      <w:r w:rsidR="00875705">
        <w:rPr>
          <w:rFonts w:ascii="Arial" w:hAnsi="Arial" w:cs="Arial"/>
          <w:sz w:val="18"/>
          <w:szCs w:val="18"/>
        </w:rPr>
        <w:t>manje</w:t>
      </w:r>
      <w:r w:rsidRPr="0044293B">
        <w:rPr>
          <w:rFonts w:ascii="Arial" w:hAnsi="Arial" w:cs="Arial"/>
          <w:sz w:val="18"/>
          <w:szCs w:val="18"/>
        </w:rPr>
        <w:t xml:space="preserve">  nego u istom razdoblju 20</w:t>
      </w:r>
      <w:r w:rsidR="0055159B" w:rsidRPr="0044293B">
        <w:rPr>
          <w:rFonts w:ascii="Arial" w:hAnsi="Arial" w:cs="Arial"/>
          <w:sz w:val="18"/>
          <w:szCs w:val="18"/>
        </w:rPr>
        <w:t>2</w:t>
      </w:r>
      <w:r w:rsidR="00875705">
        <w:rPr>
          <w:rFonts w:ascii="Arial" w:hAnsi="Arial" w:cs="Arial"/>
          <w:sz w:val="18"/>
          <w:szCs w:val="18"/>
        </w:rPr>
        <w:t>2</w:t>
      </w:r>
      <w:r w:rsidRPr="0044293B">
        <w:rPr>
          <w:rFonts w:ascii="Arial" w:hAnsi="Arial" w:cs="Arial"/>
          <w:sz w:val="18"/>
          <w:szCs w:val="18"/>
        </w:rPr>
        <w:t>. godine</w:t>
      </w:r>
      <w:r w:rsidRPr="007B788A">
        <w:rPr>
          <w:rFonts w:ascii="Arial" w:hAnsi="Arial" w:cs="Arial"/>
          <w:sz w:val="18"/>
          <w:szCs w:val="18"/>
        </w:rPr>
        <w:t>. Ukoliko</w:t>
      </w:r>
      <w:r w:rsidRPr="000268B5">
        <w:rPr>
          <w:rFonts w:ascii="Arial" w:hAnsi="Arial" w:cs="Arial"/>
          <w:sz w:val="18"/>
          <w:szCs w:val="18"/>
        </w:rPr>
        <w:t xml:space="preserve"> iz razmatranja izuzmemo ukupne prihode korisnika Proračuna</w:t>
      </w:r>
      <w:r w:rsidR="00FD18CB">
        <w:rPr>
          <w:rFonts w:ascii="Arial" w:hAnsi="Arial" w:cs="Arial"/>
          <w:sz w:val="18"/>
          <w:szCs w:val="18"/>
        </w:rPr>
        <w:t xml:space="preserve"> u iznosu od </w:t>
      </w:r>
      <w:r w:rsidR="00FD18CB" w:rsidRPr="004A0571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134.467,34</w:t>
      </w:r>
      <w:r w:rsidR="00FD18CB">
        <w:rPr>
          <w:rFonts w:ascii="Arial" w:hAnsi="Arial" w:cs="Arial"/>
          <w:sz w:val="18"/>
          <w:szCs w:val="18"/>
        </w:rPr>
        <w:t xml:space="preserve"> </w:t>
      </w:r>
      <w:r w:rsidRPr="000268B5">
        <w:rPr>
          <w:rFonts w:ascii="Arial" w:hAnsi="Arial" w:cs="Arial"/>
          <w:sz w:val="18"/>
          <w:szCs w:val="18"/>
        </w:rPr>
        <w:t xml:space="preserve">, ostvareni su prihodi Proračuna  od </w:t>
      </w:r>
      <w:r w:rsidR="000268B5" w:rsidRPr="000268B5">
        <w:rPr>
          <w:rFonts w:ascii="Arial" w:hAnsi="Arial" w:cs="Arial"/>
          <w:sz w:val="18"/>
          <w:szCs w:val="18"/>
        </w:rPr>
        <w:t>1</w:t>
      </w:r>
      <w:r w:rsidR="00FD18CB">
        <w:rPr>
          <w:rFonts w:ascii="Arial" w:hAnsi="Arial" w:cs="Arial"/>
          <w:sz w:val="18"/>
          <w:szCs w:val="18"/>
        </w:rPr>
        <w:t>.986.638,20</w:t>
      </w:r>
      <w:r w:rsidRPr="000268B5">
        <w:rPr>
          <w:rFonts w:ascii="Arial" w:hAnsi="Arial" w:cs="Arial"/>
          <w:sz w:val="18"/>
          <w:szCs w:val="18"/>
        </w:rPr>
        <w:t xml:space="preserve"> ili </w:t>
      </w:r>
      <w:r w:rsidR="00BA2E8F" w:rsidRPr="000268B5">
        <w:rPr>
          <w:rFonts w:ascii="Arial" w:hAnsi="Arial" w:cs="Arial"/>
          <w:sz w:val="18"/>
          <w:szCs w:val="18"/>
        </w:rPr>
        <w:t>2</w:t>
      </w:r>
      <w:r w:rsidR="00FD18CB">
        <w:rPr>
          <w:rFonts w:ascii="Arial" w:hAnsi="Arial" w:cs="Arial"/>
          <w:sz w:val="18"/>
          <w:szCs w:val="18"/>
        </w:rPr>
        <w:t>4</w:t>
      </w:r>
      <w:r w:rsidR="00170CAB" w:rsidRPr="000268B5">
        <w:rPr>
          <w:rFonts w:ascii="Arial" w:hAnsi="Arial" w:cs="Arial"/>
          <w:sz w:val="18"/>
          <w:szCs w:val="18"/>
        </w:rPr>
        <w:t>%</w:t>
      </w:r>
      <w:r w:rsidRPr="000268B5">
        <w:rPr>
          <w:rFonts w:ascii="Arial" w:hAnsi="Arial" w:cs="Arial"/>
          <w:sz w:val="18"/>
          <w:szCs w:val="18"/>
        </w:rPr>
        <w:t xml:space="preserve"> od planiranog</w:t>
      </w:r>
      <w:r w:rsidR="000268B5" w:rsidRPr="000268B5">
        <w:rPr>
          <w:rFonts w:ascii="Arial" w:hAnsi="Arial" w:cs="Arial"/>
          <w:sz w:val="18"/>
          <w:szCs w:val="18"/>
        </w:rPr>
        <w:t>,</w:t>
      </w:r>
      <w:r w:rsidRPr="000268B5">
        <w:rPr>
          <w:rFonts w:ascii="Arial" w:hAnsi="Arial" w:cs="Arial"/>
          <w:sz w:val="18"/>
          <w:szCs w:val="18"/>
        </w:rPr>
        <w:t xml:space="preserve"> a ukoliko izuzmemo  još i pomoći (skupina 63)</w:t>
      </w:r>
      <w:r w:rsidR="00FD18CB">
        <w:rPr>
          <w:rFonts w:ascii="Arial" w:hAnsi="Arial" w:cs="Arial"/>
          <w:sz w:val="18"/>
          <w:szCs w:val="18"/>
        </w:rPr>
        <w:t xml:space="preserve"> u iznosu od </w:t>
      </w:r>
      <w:r w:rsidR="00FD18CB">
        <w:rPr>
          <w:rFonts w:ascii="Arial" w:hAnsi="Arial" w:cs="Arial"/>
          <w:sz w:val="18"/>
          <w:szCs w:val="18"/>
        </w:rPr>
        <w:t>132.948,00</w:t>
      </w:r>
      <w:r w:rsidRPr="000268B5">
        <w:rPr>
          <w:rFonts w:ascii="Arial" w:hAnsi="Arial" w:cs="Arial"/>
          <w:sz w:val="18"/>
          <w:szCs w:val="18"/>
        </w:rPr>
        <w:t xml:space="preserve">, prihodi su ostvareni u iznosu od </w:t>
      </w:r>
      <w:r w:rsidR="00FD18CB">
        <w:rPr>
          <w:rFonts w:ascii="Arial" w:hAnsi="Arial" w:cs="Arial"/>
          <w:sz w:val="18"/>
          <w:szCs w:val="18"/>
        </w:rPr>
        <w:t>1.853.690,20</w:t>
      </w:r>
      <w:r w:rsidR="00003FEF" w:rsidRPr="000268B5">
        <w:rPr>
          <w:rFonts w:ascii="Arial" w:hAnsi="Arial" w:cs="Arial"/>
          <w:sz w:val="18"/>
          <w:szCs w:val="18"/>
        </w:rPr>
        <w:t xml:space="preserve"> ili </w:t>
      </w:r>
      <w:r w:rsidR="007B788A">
        <w:rPr>
          <w:rFonts w:ascii="Arial" w:hAnsi="Arial" w:cs="Arial"/>
          <w:sz w:val="18"/>
          <w:szCs w:val="18"/>
        </w:rPr>
        <w:t>35</w:t>
      </w:r>
      <w:r w:rsidRPr="000268B5">
        <w:rPr>
          <w:rFonts w:ascii="Arial" w:hAnsi="Arial" w:cs="Arial"/>
          <w:sz w:val="18"/>
          <w:szCs w:val="18"/>
        </w:rPr>
        <w:t>% u odnosu na plan.</w:t>
      </w:r>
    </w:p>
    <w:p w14:paraId="05CD8451" w14:textId="1A02CD10" w:rsidR="00C532E3" w:rsidRPr="00C532E3" w:rsidRDefault="00A57471" w:rsidP="00760997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788196A2" wp14:editId="18A3E689">
            <wp:extent cx="7534276" cy="3838575"/>
            <wp:effectExtent l="0" t="0" r="0" b="0"/>
            <wp:docPr id="20656118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1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EDCB7F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CAE2FD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E0657F8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27ECE72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BAEA4F0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DE41C4" w14:textId="141C7EF6" w:rsidR="00760997" w:rsidRPr="00431171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  <w:u w:val="single"/>
        </w:rPr>
        <w:t>Prihodi poslovanja</w:t>
      </w:r>
      <w:r w:rsidRPr="00431171">
        <w:rPr>
          <w:rFonts w:ascii="Arial" w:hAnsi="Arial" w:cs="Arial"/>
          <w:b/>
          <w:sz w:val="18"/>
          <w:szCs w:val="18"/>
        </w:rPr>
        <w:t xml:space="preserve">  (razred 6</w:t>
      </w:r>
      <w:r w:rsidRPr="00431171">
        <w:rPr>
          <w:rFonts w:ascii="Arial" w:hAnsi="Arial" w:cs="Arial"/>
          <w:sz w:val="18"/>
          <w:szCs w:val="18"/>
        </w:rPr>
        <w:t xml:space="preserve">) ostvareni su u iznosu od </w:t>
      </w:r>
      <w:r w:rsidR="005554FA" w:rsidRPr="00431171">
        <w:rPr>
          <w:rFonts w:ascii="Arial" w:hAnsi="Arial" w:cs="Arial"/>
          <w:b/>
          <w:bCs/>
          <w:sz w:val="18"/>
          <w:szCs w:val="18"/>
        </w:rPr>
        <w:t>2.116.787,57</w:t>
      </w:r>
      <w:r w:rsidRPr="00431171">
        <w:rPr>
          <w:rFonts w:ascii="Arial" w:hAnsi="Arial" w:cs="Arial"/>
          <w:sz w:val="18"/>
          <w:szCs w:val="18"/>
        </w:rPr>
        <w:t xml:space="preserve"> ili 2</w:t>
      </w:r>
      <w:r w:rsidR="005554FA" w:rsidRPr="00431171">
        <w:rPr>
          <w:rFonts w:ascii="Arial" w:hAnsi="Arial" w:cs="Arial"/>
          <w:sz w:val="18"/>
          <w:szCs w:val="18"/>
        </w:rPr>
        <w:t>5</w:t>
      </w:r>
      <w:r w:rsidRPr="00431171">
        <w:rPr>
          <w:rFonts w:ascii="Arial" w:hAnsi="Arial" w:cs="Arial"/>
          <w:sz w:val="18"/>
          <w:szCs w:val="18"/>
        </w:rPr>
        <w:t>% od planiranog. U odnosu na isto razdoblje 20</w:t>
      </w:r>
      <w:r w:rsidR="0055159B" w:rsidRPr="00431171">
        <w:rPr>
          <w:rFonts w:ascii="Arial" w:hAnsi="Arial" w:cs="Arial"/>
          <w:sz w:val="18"/>
          <w:szCs w:val="18"/>
        </w:rPr>
        <w:t>2</w:t>
      </w:r>
      <w:r w:rsidR="005554FA" w:rsidRPr="00431171">
        <w:rPr>
          <w:rFonts w:ascii="Arial" w:hAnsi="Arial" w:cs="Arial"/>
          <w:sz w:val="18"/>
          <w:szCs w:val="18"/>
        </w:rPr>
        <w:t>2</w:t>
      </w:r>
      <w:r w:rsidR="008132DA" w:rsidRPr="00431171">
        <w:rPr>
          <w:rFonts w:ascii="Arial" w:hAnsi="Arial" w:cs="Arial"/>
          <w:sz w:val="18"/>
          <w:szCs w:val="18"/>
        </w:rPr>
        <w:t>.godine</w:t>
      </w:r>
      <w:r w:rsidR="005554FA" w:rsidRPr="00431171">
        <w:rPr>
          <w:rFonts w:ascii="Arial" w:hAnsi="Arial" w:cs="Arial"/>
          <w:sz w:val="18"/>
          <w:szCs w:val="18"/>
        </w:rPr>
        <w:t>,</w:t>
      </w:r>
      <w:r w:rsidR="008132DA" w:rsidRPr="00431171">
        <w:rPr>
          <w:rFonts w:ascii="Arial" w:hAnsi="Arial" w:cs="Arial"/>
          <w:sz w:val="18"/>
          <w:szCs w:val="18"/>
        </w:rPr>
        <w:t xml:space="preserve"> ovi prihodi su </w:t>
      </w:r>
      <w:r w:rsidR="005554FA" w:rsidRPr="00431171">
        <w:rPr>
          <w:rFonts w:ascii="Arial" w:hAnsi="Arial" w:cs="Arial"/>
          <w:sz w:val="18"/>
          <w:szCs w:val="18"/>
        </w:rPr>
        <w:t>17</w:t>
      </w:r>
      <w:r w:rsidRPr="00431171">
        <w:rPr>
          <w:rFonts w:ascii="Arial" w:hAnsi="Arial" w:cs="Arial"/>
          <w:sz w:val="18"/>
          <w:szCs w:val="18"/>
        </w:rPr>
        <w:t xml:space="preserve">% </w:t>
      </w:r>
      <w:r w:rsidR="005554FA" w:rsidRPr="00431171">
        <w:rPr>
          <w:rFonts w:ascii="Arial" w:hAnsi="Arial" w:cs="Arial"/>
          <w:sz w:val="18"/>
          <w:szCs w:val="18"/>
        </w:rPr>
        <w:t>manji</w:t>
      </w:r>
      <w:r w:rsidRPr="00431171">
        <w:rPr>
          <w:rFonts w:ascii="Arial" w:hAnsi="Arial" w:cs="Arial"/>
          <w:sz w:val="18"/>
          <w:szCs w:val="18"/>
        </w:rPr>
        <w:t xml:space="preserve">. Ukoliko iz razmatranja izuzmemo prihode korisnika Proračuna ostvarenje je </w:t>
      </w:r>
      <w:r w:rsidR="000268B5" w:rsidRPr="00431171">
        <w:rPr>
          <w:rFonts w:ascii="Arial" w:hAnsi="Arial" w:cs="Arial"/>
          <w:sz w:val="18"/>
          <w:szCs w:val="18"/>
        </w:rPr>
        <w:t>1</w:t>
      </w:r>
      <w:r w:rsidR="009647C8" w:rsidRPr="00431171">
        <w:rPr>
          <w:rFonts w:ascii="Arial" w:hAnsi="Arial" w:cs="Arial"/>
          <w:sz w:val="18"/>
          <w:szCs w:val="18"/>
        </w:rPr>
        <w:t>.982.320,23</w:t>
      </w:r>
      <w:r w:rsidR="00E364D7" w:rsidRPr="00431171">
        <w:rPr>
          <w:rFonts w:ascii="Arial" w:hAnsi="Arial" w:cs="Arial"/>
          <w:sz w:val="18"/>
          <w:szCs w:val="18"/>
        </w:rPr>
        <w:t xml:space="preserve"> ili </w:t>
      </w:r>
      <w:r w:rsidR="00FA6CCB" w:rsidRPr="00431171">
        <w:rPr>
          <w:rFonts w:ascii="Arial" w:hAnsi="Arial" w:cs="Arial"/>
          <w:sz w:val="18"/>
          <w:szCs w:val="18"/>
        </w:rPr>
        <w:t>2</w:t>
      </w:r>
      <w:r w:rsidR="00FD18CB" w:rsidRPr="00431171">
        <w:rPr>
          <w:rFonts w:ascii="Arial" w:hAnsi="Arial" w:cs="Arial"/>
          <w:sz w:val="18"/>
          <w:szCs w:val="18"/>
        </w:rPr>
        <w:t>5</w:t>
      </w:r>
      <w:r w:rsidRPr="00431171">
        <w:rPr>
          <w:rFonts w:ascii="Arial" w:hAnsi="Arial" w:cs="Arial"/>
          <w:sz w:val="18"/>
          <w:szCs w:val="18"/>
        </w:rPr>
        <w:t>% od planiranih.</w:t>
      </w:r>
    </w:p>
    <w:p w14:paraId="2B8DB9CC" w14:textId="6AC5EF2C" w:rsidR="00760997" w:rsidRPr="00431171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</w:rPr>
        <w:t>Prihodi od poreza (skupina 61</w:t>
      </w:r>
      <w:r w:rsidRPr="00431171">
        <w:rPr>
          <w:rFonts w:ascii="Arial" w:hAnsi="Arial" w:cs="Arial"/>
          <w:sz w:val="18"/>
          <w:szCs w:val="18"/>
        </w:rPr>
        <w:t>) ostvareni su u iznosu od</w:t>
      </w:r>
      <w:r w:rsidR="00470816" w:rsidRPr="00431171">
        <w:rPr>
          <w:rFonts w:ascii="Arial" w:hAnsi="Arial" w:cs="Arial"/>
          <w:sz w:val="18"/>
          <w:szCs w:val="18"/>
        </w:rPr>
        <w:t xml:space="preserve"> </w:t>
      </w:r>
      <w:r w:rsidR="005554FA" w:rsidRPr="00431171">
        <w:rPr>
          <w:rFonts w:ascii="Arial" w:hAnsi="Arial" w:cs="Arial"/>
          <w:sz w:val="18"/>
          <w:szCs w:val="18"/>
        </w:rPr>
        <w:t>1.309.523,18</w:t>
      </w:r>
      <w:r w:rsidRPr="00431171">
        <w:rPr>
          <w:rFonts w:ascii="Arial" w:hAnsi="Arial" w:cs="Arial"/>
          <w:sz w:val="18"/>
          <w:szCs w:val="18"/>
        </w:rPr>
        <w:t xml:space="preserve"> odnosno</w:t>
      </w:r>
      <w:r w:rsidR="00B76F08" w:rsidRPr="00431171">
        <w:rPr>
          <w:rFonts w:ascii="Arial" w:hAnsi="Arial" w:cs="Arial"/>
          <w:sz w:val="18"/>
          <w:szCs w:val="18"/>
        </w:rPr>
        <w:t xml:space="preserve"> </w:t>
      </w:r>
      <w:r w:rsidR="005554FA" w:rsidRPr="00431171">
        <w:rPr>
          <w:rFonts w:ascii="Arial" w:hAnsi="Arial" w:cs="Arial"/>
          <w:sz w:val="18"/>
          <w:szCs w:val="18"/>
        </w:rPr>
        <w:t>20</w:t>
      </w:r>
      <w:r w:rsidRPr="00431171">
        <w:rPr>
          <w:rFonts w:ascii="Arial" w:hAnsi="Arial" w:cs="Arial"/>
          <w:sz w:val="18"/>
          <w:szCs w:val="18"/>
        </w:rPr>
        <w:t xml:space="preserve">% </w:t>
      </w:r>
      <w:r w:rsidR="00B76F08" w:rsidRPr="00431171">
        <w:rPr>
          <w:rFonts w:ascii="Arial" w:hAnsi="Arial" w:cs="Arial"/>
          <w:sz w:val="18"/>
          <w:szCs w:val="18"/>
        </w:rPr>
        <w:t>više</w:t>
      </w:r>
      <w:r w:rsidRPr="00431171">
        <w:rPr>
          <w:rFonts w:ascii="Arial" w:hAnsi="Arial" w:cs="Arial"/>
          <w:sz w:val="18"/>
          <w:szCs w:val="18"/>
        </w:rPr>
        <w:t xml:space="preserve"> nego u istom razdoblju prethodne godine</w:t>
      </w:r>
      <w:r w:rsidR="00B76F08" w:rsidRPr="00431171">
        <w:rPr>
          <w:rFonts w:ascii="Arial" w:hAnsi="Arial" w:cs="Arial"/>
          <w:sz w:val="18"/>
          <w:szCs w:val="18"/>
        </w:rPr>
        <w:t>,</w:t>
      </w:r>
      <w:r w:rsidRPr="00431171">
        <w:rPr>
          <w:rFonts w:ascii="Arial" w:hAnsi="Arial" w:cs="Arial"/>
          <w:sz w:val="18"/>
          <w:szCs w:val="18"/>
        </w:rPr>
        <w:t xml:space="preserve"> a </w:t>
      </w:r>
      <w:r w:rsidR="005554FA" w:rsidRPr="00431171">
        <w:rPr>
          <w:rFonts w:ascii="Arial" w:hAnsi="Arial" w:cs="Arial"/>
          <w:sz w:val="18"/>
          <w:szCs w:val="18"/>
        </w:rPr>
        <w:t>44</w:t>
      </w:r>
      <w:r w:rsidRPr="00431171">
        <w:rPr>
          <w:rFonts w:ascii="Arial" w:hAnsi="Arial" w:cs="Arial"/>
          <w:sz w:val="18"/>
          <w:szCs w:val="18"/>
        </w:rPr>
        <w:t>% u odnosu na plan.</w:t>
      </w:r>
    </w:p>
    <w:p w14:paraId="771D866C" w14:textId="58410228" w:rsidR="0050049F" w:rsidRPr="00250FF3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</w:rPr>
        <w:t>Gradski porezi (dio skupine 61</w:t>
      </w:r>
      <w:r w:rsidR="00994228" w:rsidRPr="00431171">
        <w:rPr>
          <w:rFonts w:ascii="Arial" w:hAnsi="Arial" w:cs="Arial"/>
          <w:b/>
          <w:sz w:val="18"/>
          <w:szCs w:val="18"/>
        </w:rPr>
        <w:t>)</w:t>
      </w:r>
      <w:r w:rsidRPr="00431171">
        <w:rPr>
          <w:rFonts w:ascii="Arial" w:hAnsi="Arial" w:cs="Arial"/>
          <w:b/>
          <w:sz w:val="18"/>
          <w:szCs w:val="18"/>
        </w:rPr>
        <w:t xml:space="preserve"> </w:t>
      </w:r>
      <w:r w:rsidRPr="00431171">
        <w:rPr>
          <w:rFonts w:ascii="Arial" w:hAnsi="Arial" w:cs="Arial"/>
          <w:sz w:val="18"/>
          <w:szCs w:val="18"/>
        </w:rPr>
        <w:t>- porez na kuću za odmor, porez na potrošnju</w:t>
      </w:r>
      <w:r w:rsidR="001C34C5" w:rsidRPr="00431171">
        <w:rPr>
          <w:rFonts w:ascii="Arial" w:hAnsi="Arial" w:cs="Arial"/>
          <w:sz w:val="18"/>
          <w:szCs w:val="18"/>
        </w:rPr>
        <w:t>, porez na promet nekretnina</w:t>
      </w:r>
      <w:r w:rsidRPr="00431171">
        <w:rPr>
          <w:rFonts w:ascii="Arial" w:hAnsi="Arial" w:cs="Arial"/>
          <w:sz w:val="18"/>
          <w:szCs w:val="18"/>
        </w:rPr>
        <w:t xml:space="preserve"> i porez na tvrtku</w:t>
      </w:r>
      <w:r w:rsidR="009101EE" w:rsidRPr="00431171">
        <w:rPr>
          <w:rFonts w:ascii="Arial" w:hAnsi="Arial" w:cs="Arial"/>
          <w:sz w:val="18"/>
          <w:szCs w:val="18"/>
        </w:rPr>
        <w:t>-uki</w:t>
      </w:r>
      <w:r w:rsidR="001C34C5" w:rsidRPr="00431171">
        <w:rPr>
          <w:rFonts w:ascii="Arial" w:hAnsi="Arial" w:cs="Arial"/>
          <w:sz w:val="18"/>
          <w:szCs w:val="18"/>
        </w:rPr>
        <w:t>nut</w:t>
      </w:r>
      <w:r w:rsidRPr="00431171">
        <w:rPr>
          <w:rFonts w:ascii="Arial" w:hAnsi="Arial" w:cs="Arial"/>
          <w:sz w:val="18"/>
          <w:szCs w:val="18"/>
        </w:rPr>
        <w:t>)</w:t>
      </w:r>
      <w:r w:rsidR="00B6714B" w:rsidRPr="00431171">
        <w:rPr>
          <w:rFonts w:ascii="Arial" w:hAnsi="Arial" w:cs="Arial"/>
          <w:sz w:val="18"/>
          <w:szCs w:val="18"/>
        </w:rPr>
        <w:t>,</w:t>
      </w:r>
      <w:r w:rsidRPr="00431171">
        <w:rPr>
          <w:rFonts w:ascii="Arial" w:hAnsi="Arial" w:cs="Arial"/>
          <w:sz w:val="18"/>
          <w:szCs w:val="18"/>
        </w:rPr>
        <w:t xml:space="preserve"> su naplaćeni u iznosu od </w:t>
      </w:r>
      <w:r w:rsidR="003B2271" w:rsidRPr="00431171">
        <w:rPr>
          <w:rFonts w:ascii="Arial" w:hAnsi="Arial" w:cs="Arial"/>
          <w:sz w:val="18"/>
          <w:szCs w:val="18"/>
        </w:rPr>
        <w:t>206</w:t>
      </w:r>
      <w:r w:rsidR="003B2271">
        <w:rPr>
          <w:rFonts w:ascii="Arial" w:hAnsi="Arial" w:cs="Arial"/>
          <w:sz w:val="18"/>
          <w:szCs w:val="18"/>
        </w:rPr>
        <w:t>.564,66</w:t>
      </w:r>
      <w:r w:rsidR="006A7B40" w:rsidRPr="00250FF3">
        <w:rPr>
          <w:rFonts w:ascii="Arial" w:hAnsi="Arial" w:cs="Arial"/>
          <w:sz w:val="18"/>
          <w:szCs w:val="18"/>
        </w:rPr>
        <w:t xml:space="preserve"> ili </w:t>
      </w:r>
      <w:r w:rsidR="00B6714B" w:rsidRPr="00250FF3">
        <w:rPr>
          <w:rFonts w:ascii="Arial" w:hAnsi="Arial" w:cs="Arial"/>
          <w:sz w:val="18"/>
          <w:szCs w:val="18"/>
        </w:rPr>
        <w:t>1</w:t>
      </w:r>
      <w:r w:rsidR="003B2271">
        <w:rPr>
          <w:rFonts w:ascii="Arial" w:hAnsi="Arial" w:cs="Arial"/>
          <w:sz w:val="18"/>
          <w:szCs w:val="18"/>
        </w:rPr>
        <w:t>3</w:t>
      </w:r>
      <w:r w:rsidR="006A7B40" w:rsidRPr="00250FF3">
        <w:rPr>
          <w:rFonts w:ascii="Arial" w:hAnsi="Arial" w:cs="Arial"/>
          <w:sz w:val="18"/>
          <w:szCs w:val="18"/>
        </w:rPr>
        <w:t xml:space="preserve">% </w:t>
      </w:r>
      <w:r w:rsidR="003B2271">
        <w:rPr>
          <w:rFonts w:ascii="Arial" w:hAnsi="Arial" w:cs="Arial"/>
          <w:sz w:val="18"/>
          <w:szCs w:val="18"/>
        </w:rPr>
        <w:t>manje</w:t>
      </w:r>
      <w:r w:rsidRPr="00250FF3">
        <w:rPr>
          <w:rFonts w:ascii="Arial" w:hAnsi="Arial" w:cs="Arial"/>
          <w:sz w:val="18"/>
          <w:szCs w:val="18"/>
        </w:rPr>
        <w:t xml:space="preserve"> nego u istom razdoblju prethodne godine.</w:t>
      </w:r>
    </w:p>
    <w:p w14:paraId="2D576AAE" w14:textId="77777777" w:rsidR="00335670" w:rsidRPr="00250FF3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E6B0D66" w14:textId="71BC16FA" w:rsidR="00120BD4" w:rsidRPr="00250FF3" w:rsidRDefault="00760997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</w:rPr>
        <w:lastRenderedPageBreak/>
        <w:t>Pomoći iz inozemstva i</w:t>
      </w:r>
      <w:r w:rsidRPr="00250FF3">
        <w:rPr>
          <w:rFonts w:ascii="Arial" w:hAnsi="Arial" w:cs="Arial"/>
          <w:b/>
          <w:sz w:val="18"/>
          <w:szCs w:val="18"/>
        </w:rPr>
        <w:t xml:space="preserve"> od </w:t>
      </w:r>
      <w:r w:rsidRPr="00250FF3">
        <w:rPr>
          <w:rFonts w:ascii="Arial" w:hAnsi="Arial" w:cs="Arial"/>
          <w:b/>
          <w:color w:val="000000"/>
          <w:sz w:val="18"/>
          <w:szCs w:val="18"/>
        </w:rPr>
        <w:t>subjekata unutar općeg proračuna (skupina 63</w:t>
      </w:r>
      <w:r w:rsidRPr="00250FF3">
        <w:rPr>
          <w:rFonts w:ascii="Arial" w:hAnsi="Arial" w:cs="Arial"/>
          <w:sz w:val="18"/>
          <w:szCs w:val="18"/>
        </w:rPr>
        <w:t xml:space="preserve">) su ostvarene u iznosu od </w:t>
      </w:r>
      <w:r w:rsidR="0055408D">
        <w:rPr>
          <w:rFonts w:ascii="Arial" w:hAnsi="Arial" w:cs="Arial"/>
          <w:sz w:val="18"/>
          <w:szCs w:val="18"/>
        </w:rPr>
        <w:t>132.948,00</w:t>
      </w:r>
      <w:r w:rsidR="004A2232" w:rsidRPr="00250FF3">
        <w:rPr>
          <w:rFonts w:ascii="Arial" w:hAnsi="Arial" w:cs="Arial"/>
          <w:sz w:val="18"/>
          <w:szCs w:val="18"/>
        </w:rPr>
        <w:t xml:space="preserve"> </w:t>
      </w:r>
      <w:r w:rsidRPr="00250FF3">
        <w:rPr>
          <w:rFonts w:ascii="Arial" w:hAnsi="Arial" w:cs="Arial"/>
          <w:sz w:val="18"/>
          <w:szCs w:val="18"/>
        </w:rPr>
        <w:t xml:space="preserve">ili </w:t>
      </w:r>
      <w:r w:rsidR="00B6714B" w:rsidRPr="00250FF3">
        <w:rPr>
          <w:rFonts w:ascii="Arial" w:hAnsi="Arial" w:cs="Arial"/>
          <w:sz w:val="18"/>
          <w:szCs w:val="18"/>
        </w:rPr>
        <w:t>8</w:t>
      </w:r>
      <w:r w:rsidR="0055408D">
        <w:rPr>
          <w:rFonts w:ascii="Arial" w:hAnsi="Arial" w:cs="Arial"/>
          <w:sz w:val="18"/>
          <w:szCs w:val="18"/>
        </w:rPr>
        <w:t>3</w:t>
      </w:r>
      <w:r w:rsidRPr="00250FF3">
        <w:rPr>
          <w:rFonts w:ascii="Arial" w:hAnsi="Arial" w:cs="Arial"/>
          <w:sz w:val="18"/>
          <w:szCs w:val="18"/>
        </w:rPr>
        <w:t xml:space="preserve">% </w:t>
      </w:r>
      <w:r w:rsidR="0055408D">
        <w:rPr>
          <w:rFonts w:ascii="Arial" w:hAnsi="Arial" w:cs="Arial"/>
          <w:sz w:val="18"/>
          <w:szCs w:val="18"/>
        </w:rPr>
        <w:t>manje</w:t>
      </w:r>
      <w:r w:rsidRPr="00250FF3">
        <w:rPr>
          <w:rFonts w:ascii="Arial" w:hAnsi="Arial" w:cs="Arial"/>
          <w:sz w:val="18"/>
          <w:szCs w:val="18"/>
        </w:rPr>
        <w:t xml:space="preserve"> nego prošle godine</w:t>
      </w:r>
      <w:r w:rsidR="00B6714B" w:rsidRPr="00250FF3">
        <w:rPr>
          <w:rFonts w:ascii="Arial" w:hAnsi="Arial" w:cs="Arial"/>
          <w:sz w:val="18"/>
          <w:szCs w:val="18"/>
        </w:rPr>
        <w:t>,</w:t>
      </w:r>
      <w:r w:rsidRPr="00250FF3">
        <w:rPr>
          <w:rFonts w:ascii="Arial" w:hAnsi="Arial" w:cs="Arial"/>
          <w:sz w:val="18"/>
          <w:szCs w:val="18"/>
        </w:rPr>
        <w:t xml:space="preserve"> a </w:t>
      </w:r>
      <w:r w:rsidR="00B6714B" w:rsidRPr="00250FF3">
        <w:rPr>
          <w:rFonts w:ascii="Arial" w:hAnsi="Arial" w:cs="Arial"/>
          <w:sz w:val="18"/>
          <w:szCs w:val="18"/>
        </w:rPr>
        <w:t>5</w:t>
      </w:r>
      <w:r w:rsidRPr="00250FF3">
        <w:rPr>
          <w:rFonts w:ascii="Arial" w:hAnsi="Arial" w:cs="Arial"/>
          <w:sz w:val="18"/>
          <w:szCs w:val="18"/>
        </w:rPr>
        <w:t xml:space="preserve">% od plana. </w:t>
      </w:r>
      <w:r w:rsidR="009555AD" w:rsidRPr="00250FF3">
        <w:rPr>
          <w:rFonts w:ascii="Arial" w:hAnsi="Arial" w:cs="Arial"/>
          <w:sz w:val="18"/>
          <w:szCs w:val="18"/>
        </w:rPr>
        <w:t>O</w:t>
      </w:r>
      <w:r w:rsidRPr="00250FF3">
        <w:rPr>
          <w:rFonts w:ascii="Arial" w:hAnsi="Arial" w:cs="Arial"/>
          <w:sz w:val="18"/>
          <w:szCs w:val="18"/>
        </w:rPr>
        <w:t>dnose se na</w:t>
      </w:r>
      <w:r w:rsidR="00120BD4" w:rsidRPr="00250FF3">
        <w:rPr>
          <w:rFonts w:ascii="Arial" w:hAnsi="Arial" w:cs="Arial"/>
          <w:sz w:val="18"/>
          <w:szCs w:val="18"/>
        </w:rPr>
        <w:t>:</w:t>
      </w:r>
      <w:r w:rsidRPr="00250FF3">
        <w:rPr>
          <w:rFonts w:ascii="Arial" w:hAnsi="Arial" w:cs="Arial"/>
          <w:sz w:val="18"/>
          <w:szCs w:val="18"/>
        </w:rPr>
        <w:t xml:space="preserve"> </w:t>
      </w:r>
      <w:r w:rsidR="00120BD4" w:rsidRPr="00250FF3">
        <w:rPr>
          <w:rFonts w:ascii="Arial" w:hAnsi="Arial" w:cs="Arial"/>
          <w:sz w:val="18"/>
          <w:szCs w:val="18"/>
        </w:rPr>
        <w:t xml:space="preserve">      </w:t>
      </w:r>
    </w:p>
    <w:p w14:paraId="126C0629" w14:textId="78D71A1B" w:rsidR="00120BD4" w:rsidRPr="00250FF3" w:rsidRDefault="00120BD4" w:rsidP="006E6B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5FBF6E" w14:textId="22D305BA" w:rsidR="00B70B66" w:rsidRPr="00553095" w:rsidRDefault="009555AD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3095">
        <w:rPr>
          <w:rFonts w:ascii="Arial" w:hAnsi="Arial" w:cs="Arial"/>
          <w:sz w:val="18"/>
          <w:szCs w:val="18"/>
        </w:rPr>
        <w:t>kapitalne po</w:t>
      </w:r>
      <w:r w:rsidR="00D15F0F" w:rsidRPr="00553095">
        <w:rPr>
          <w:rFonts w:ascii="Arial" w:hAnsi="Arial" w:cs="Arial"/>
          <w:sz w:val="18"/>
          <w:szCs w:val="18"/>
        </w:rPr>
        <w:t xml:space="preserve">moći </w:t>
      </w:r>
      <w:r w:rsidR="008B1E87" w:rsidRPr="00553095">
        <w:rPr>
          <w:rFonts w:ascii="Arial" w:hAnsi="Arial" w:cs="Arial"/>
          <w:sz w:val="18"/>
          <w:szCs w:val="18"/>
        </w:rPr>
        <w:t>iz državnog proračuna temeljem prijenosa</w:t>
      </w:r>
      <w:r w:rsidR="009101EE" w:rsidRPr="00553095">
        <w:rPr>
          <w:rFonts w:ascii="Arial" w:hAnsi="Arial" w:cs="Arial"/>
          <w:sz w:val="18"/>
          <w:szCs w:val="18"/>
        </w:rPr>
        <w:t xml:space="preserve"> EU sredstava </w:t>
      </w:r>
      <w:r w:rsidR="008B1E87" w:rsidRPr="00553095">
        <w:rPr>
          <w:rFonts w:ascii="Arial" w:hAnsi="Arial" w:cs="Arial"/>
          <w:sz w:val="18"/>
          <w:szCs w:val="18"/>
        </w:rPr>
        <w:t xml:space="preserve">u iznosu </w:t>
      </w:r>
      <w:r w:rsidR="009101EE" w:rsidRPr="00553095">
        <w:rPr>
          <w:rFonts w:ascii="Arial" w:hAnsi="Arial" w:cs="Arial"/>
          <w:sz w:val="18"/>
          <w:szCs w:val="18"/>
        </w:rPr>
        <w:t xml:space="preserve">od </w:t>
      </w:r>
      <w:r w:rsidR="0055408D" w:rsidRPr="00553095">
        <w:rPr>
          <w:rFonts w:ascii="Arial" w:hAnsi="Arial" w:cs="Arial"/>
          <w:sz w:val="18"/>
          <w:szCs w:val="18"/>
        </w:rPr>
        <w:t>34.872,70</w:t>
      </w:r>
      <w:r w:rsidR="009101EE" w:rsidRPr="00553095">
        <w:rPr>
          <w:rFonts w:ascii="Arial" w:hAnsi="Arial" w:cs="Arial"/>
          <w:sz w:val="18"/>
          <w:szCs w:val="18"/>
        </w:rPr>
        <w:t xml:space="preserve"> temeljem zahtjeva za nadoknadom sredstava projek</w:t>
      </w:r>
      <w:r w:rsidR="0055408D" w:rsidRPr="00553095">
        <w:rPr>
          <w:rFonts w:ascii="Arial" w:hAnsi="Arial" w:cs="Arial"/>
          <w:sz w:val="18"/>
          <w:szCs w:val="18"/>
        </w:rPr>
        <w:t xml:space="preserve">ta </w:t>
      </w:r>
      <w:r w:rsidR="00B70B66" w:rsidRPr="00553095">
        <w:rPr>
          <w:rFonts w:ascii="Arial" w:hAnsi="Arial" w:cs="Arial"/>
          <w:sz w:val="18"/>
          <w:szCs w:val="18"/>
        </w:rPr>
        <w:t>obnove kuće Marka Pola</w:t>
      </w:r>
      <w:r w:rsidR="0055408D" w:rsidRPr="00553095">
        <w:rPr>
          <w:rFonts w:ascii="Arial" w:hAnsi="Arial" w:cs="Arial"/>
          <w:sz w:val="18"/>
          <w:szCs w:val="18"/>
        </w:rPr>
        <w:t>-VALUE,</w:t>
      </w:r>
    </w:p>
    <w:p w14:paraId="0363C84C" w14:textId="42FFCE9F" w:rsidR="00B70B66" w:rsidRPr="00553095" w:rsidRDefault="00B70B66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3095">
        <w:rPr>
          <w:rFonts w:ascii="Arial" w:hAnsi="Arial" w:cs="Arial"/>
          <w:sz w:val="18"/>
          <w:szCs w:val="18"/>
        </w:rPr>
        <w:t>kapitalne pomoći</w:t>
      </w:r>
      <w:r w:rsidR="0055408D" w:rsidRPr="00553095">
        <w:rPr>
          <w:rFonts w:ascii="Arial" w:hAnsi="Arial" w:cs="Arial"/>
          <w:sz w:val="18"/>
          <w:szCs w:val="18"/>
        </w:rPr>
        <w:t xml:space="preserve"> Ministarstva regionalnog razvoja i fondova EU</w:t>
      </w:r>
      <w:r w:rsidRPr="00553095">
        <w:rPr>
          <w:rFonts w:ascii="Arial" w:hAnsi="Arial" w:cs="Arial"/>
          <w:sz w:val="18"/>
          <w:szCs w:val="18"/>
        </w:rPr>
        <w:t xml:space="preserve"> u iznosu</w:t>
      </w:r>
      <w:r w:rsidR="0055408D" w:rsidRPr="00553095">
        <w:rPr>
          <w:rFonts w:ascii="Arial" w:hAnsi="Arial" w:cs="Arial"/>
          <w:sz w:val="18"/>
          <w:szCs w:val="18"/>
        </w:rPr>
        <w:t xml:space="preserve"> od 43.798,53 za uređenje Marmonova puta</w:t>
      </w:r>
      <w:r w:rsidRPr="00553095">
        <w:rPr>
          <w:rFonts w:ascii="Arial" w:hAnsi="Arial" w:cs="Arial"/>
          <w:sz w:val="18"/>
          <w:szCs w:val="18"/>
        </w:rPr>
        <w:t>,</w:t>
      </w:r>
    </w:p>
    <w:p w14:paraId="48C1590D" w14:textId="71770AC7" w:rsidR="00A0252D" w:rsidRPr="00553095" w:rsidRDefault="00A0252D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3095">
        <w:rPr>
          <w:rFonts w:ascii="Arial" w:hAnsi="Arial" w:cs="Arial"/>
          <w:sz w:val="18"/>
          <w:szCs w:val="18"/>
        </w:rPr>
        <w:t>kapitalne pomoći od institucija i tijela EU za energetsku obnovu javnih i komercijalnih zgrada na području otoka</w:t>
      </w:r>
      <w:r w:rsidRPr="00553095">
        <w:rPr>
          <w:rFonts w:ascii="Arial" w:hAnsi="Arial" w:cs="Arial"/>
          <w:sz w:val="18"/>
          <w:szCs w:val="18"/>
        </w:rPr>
        <w:t>, u iznosu od 18.000,00,</w:t>
      </w:r>
    </w:p>
    <w:p w14:paraId="09B9BDAD" w14:textId="7290422B" w:rsidR="00120BD4" w:rsidRPr="00553095" w:rsidRDefault="00B70B66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3095">
        <w:rPr>
          <w:rFonts w:ascii="Arial" w:hAnsi="Arial" w:cs="Arial"/>
          <w:sz w:val="18"/>
          <w:szCs w:val="18"/>
        </w:rPr>
        <w:t xml:space="preserve">kapitalne pomoći iz Ministarstva </w:t>
      </w:r>
      <w:r w:rsidR="00A0252D" w:rsidRPr="00553095">
        <w:rPr>
          <w:rFonts w:ascii="Arial" w:hAnsi="Arial" w:cs="Arial"/>
          <w:sz w:val="18"/>
          <w:szCs w:val="18"/>
        </w:rPr>
        <w:t>kulture u iznosu 6.158,34 za nabavu knjiga Gradske knjižnice</w:t>
      </w:r>
      <w:r w:rsidR="009101EE" w:rsidRPr="00553095">
        <w:rPr>
          <w:rFonts w:ascii="Arial" w:hAnsi="Arial" w:cs="Arial"/>
          <w:sz w:val="18"/>
          <w:szCs w:val="18"/>
        </w:rPr>
        <w:t>,</w:t>
      </w:r>
      <w:r w:rsidR="004D336E" w:rsidRPr="00553095">
        <w:rPr>
          <w:rFonts w:ascii="Arial" w:hAnsi="Arial" w:cs="Arial"/>
          <w:sz w:val="18"/>
          <w:szCs w:val="18"/>
        </w:rPr>
        <w:t xml:space="preserve"> </w:t>
      </w:r>
    </w:p>
    <w:p w14:paraId="0AFB982B" w14:textId="74F8D66D" w:rsidR="00B70B66" w:rsidRPr="00553095" w:rsidRDefault="00B70B66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3095">
        <w:rPr>
          <w:rFonts w:ascii="Arial" w:hAnsi="Arial" w:cs="Arial"/>
          <w:sz w:val="18"/>
          <w:szCs w:val="18"/>
        </w:rPr>
        <w:t xml:space="preserve">tekuće pomoći Ministarstva kulture u iznosu od </w:t>
      </w:r>
      <w:r w:rsidR="00A0252D" w:rsidRPr="00553095">
        <w:rPr>
          <w:rFonts w:ascii="Arial" w:hAnsi="Arial" w:cs="Arial"/>
          <w:sz w:val="18"/>
          <w:szCs w:val="18"/>
        </w:rPr>
        <w:t>9.854,96 za programe</w:t>
      </w:r>
      <w:r w:rsidR="00553095" w:rsidRPr="00553095">
        <w:rPr>
          <w:rFonts w:ascii="Arial" w:hAnsi="Arial" w:cs="Arial"/>
          <w:sz w:val="18"/>
          <w:szCs w:val="18"/>
        </w:rPr>
        <w:t xml:space="preserve"> i aktivnosti</w:t>
      </w:r>
      <w:r w:rsidR="00A0252D" w:rsidRPr="00553095">
        <w:rPr>
          <w:rFonts w:ascii="Arial" w:hAnsi="Arial" w:cs="Arial"/>
          <w:sz w:val="18"/>
          <w:szCs w:val="18"/>
        </w:rPr>
        <w:t xml:space="preserve"> Gradskog muzeja, Knjižnice i Centra za kulturu,</w:t>
      </w:r>
    </w:p>
    <w:p w14:paraId="2DA29685" w14:textId="72FCEC16" w:rsidR="00120BD4" w:rsidRPr="00553095" w:rsidRDefault="006255F3" w:rsidP="00B70B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3095">
        <w:rPr>
          <w:rFonts w:ascii="Arial" w:hAnsi="Arial" w:cs="Arial"/>
          <w:sz w:val="18"/>
          <w:szCs w:val="18"/>
        </w:rPr>
        <w:t xml:space="preserve">tekuće pomoći </w:t>
      </w:r>
      <w:r w:rsidR="00A0252D" w:rsidRPr="00553095">
        <w:rPr>
          <w:rFonts w:ascii="Arial" w:hAnsi="Arial" w:cs="Arial"/>
          <w:sz w:val="18"/>
          <w:szCs w:val="18"/>
        </w:rPr>
        <w:t xml:space="preserve">Ministarstva rada, mirovinskog sustava, obitelji i socijalne politike u iznosu od 465,87 </w:t>
      </w:r>
      <w:r w:rsidRPr="00553095">
        <w:rPr>
          <w:rFonts w:ascii="Arial" w:hAnsi="Arial" w:cs="Arial"/>
          <w:sz w:val="18"/>
          <w:szCs w:val="18"/>
        </w:rPr>
        <w:t>za</w:t>
      </w:r>
      <w:r w:rsidR="00B70B66" w:rsidRPr="00553095">
        <w:rPr>
          <w:rFonts w:ascii="Arial" w:hAnsi="Arial" w:cs="Arial"/>
          <w:sz w:val="18"/>
          <w:szCs w:val="18"/>
        </w:rPr>
        <w:t xml:space="preserve"> ogrijev potrebitim građanima</w:t>
      </w:r>
      <w:r w:rsidR="00120BD4" w:rsidRPr="00553095">
        <w:rPr>
          <w:rFonts w:ascii="Arial" w:hAnsi="Arial" w:cs="Arial"/>
          <w:sz w:val="18"/>
          <w:szCs w:val="18"/>
        </w:rPr>
        <w:t>,</w:t>
      </w:r>
      <w:r w:rsidRPr="00553095">
        <w:rPr>
          <w:rFonts w:ascii="Arial" w:hAnsi="Arial" w:cs="Arial"/>
          <w:sz w:val="18"/>
          <w:szCs w:val="18"/>
        </w:rPr>
        <w:t xml:space="preserve"> </w:t>
      </w:r>
    </w:p>
    <w:p w14:paraId="196C35F0" w14:textId="025CE503" w:rsidR="00553095" w:rsidRPr="00553095" w:rsidRDefault="00553095" w:rsidP="00B70B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3095">
        <w:rPr>
          <w:rFonts w:ascii="Arial" w:hAnsi="Arial" w:cs="Arial"/>
          <w:sz w:val="18"/>
          <w:szCs w:val="18"/>
        </w:rPr>
        <w:t>tekuće pomoći iz županije Dubrovačko-neretvanske</w:t>
      </w:r>
      <w:r w:rsidRPr="00553095">
        <w:rPr>
          <w:rFonts w:ascii="Arial" w:hAnsi="Arial" w:cs="Arial"/>
          <w:sz w:val="18"/>
          <w:szCs w:val="18"/>
        </w:rPr>
        <w:t xml:space="preserve"> u iznosu od 2.650,00 za aktivnosti Operni tjedan i Dani Petra Šegedina,</w:t>
      </w:r>
    </w:p>
    <w:p w14:paraId="04B029BE" w14:textId="73805A8C" w:rsidR="00553095" w:rsidRPr="00553095" w:rsidRDefault="00553095" w:rsidP="00B70B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3095">
        <w:rPr>
          <w:rFonts w:ascii="Arial" w:hAnsi="Arial" w:cs="Arial"/>
          <w:sz w:val="18"/>
          <w:szCs w:val="18"/>
        </w:rPr>
        <w:t>tekuće pomoći iz županije Dubrovačko-neretvanske 2.358,60 za aktivnosti Gradskog muzeja, Knjižnice i Centra za kulturu,</w:t>
      </w:r>
    </w:p>
    <w:p w14:paraId="42BAC9BB" w14:textId="080D0056" w:rsidR="00760997" w:rsidRPr="00553095" w:rsidRDefault="004D336E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3095">
        <w:rPr>
          <w:rFonts w:ascii="Arial" w:hAnsi="Arial" w:cs="Arial"/>
          <w:sz w:val="18"/>
          <w:szCs w:val="18"/>
        </w:rPr>
        <w:t>tekuće pomoći općine Lumbarda</w:t>
      </w:r>
      <w:r w:rsidR="009555AD" w:rsidRPr="00553095">
        <w:rPr>
          <w:rFonts w:ascii="Arial" w:hAnsi="Arial" w:cs="Arial"/>
          <w:sz w:val="18"/>
          <w:szCs w:val="18"/>
        </w:rPr>
        <w:t xml:space="preserve"> </w:t>
      </w:r>
      <w:r w:rsidRPr="00553095">
        <w:rPr>
          <w:rFonts w:ascii="Arial" w:hAnsi="Arial" w:cs="Arial"/>
          <w:sz w:val="18"/>
          <w:szCs w:val="18"/>
        </w:rPr>
        <w:t xml:space="preserve">od </w:t>
      </w:r>
      <w:r w:rsidR="00553095" w:rsidRPr="00553095">
        <w:rPr>
          <w:rFonts w:ascii="Arial" w:hAnsi="Arial" w:cs="Arial"/>
          <w:sz w:val="18"/>
          <w:szCs w:val="18"/>
        </w:rPr>
        <w:t>12.590,60</w:t>
      </w:r>
      <w:r w:rsidRPr="00553095">
        <w:rPr>
          <w:rFonts w:ascii="Arial" w:hAnsi="Arial" w:cs="Arial"/>
          <w:sz w:val="18"/>
          <w:szCs w:val="18"/>
        </w:rPr>
        <w:t xml:space="preserve"> za </w:t>
      </w:r>
      <w:r w:rsidR="00553095" w:rsidRPr="00553095">
        <w:rPr>
          <w:rFonts w:ascii="Arial" w:hAnsi="Arial" w:cs="Arial"/>
          <w:sz w:val="18"/>
          <w:szCs w:val="18"/>
        </w:rPr>
        <w:t>D</w:t>
      </w:r>
      <w:r w:rsidRPr="00553095">
        <w:rPr>
          <w:rFonts w:ascii="Arial" w:hAnsi="Arial" w:cs="Arial"/>
          <w:sz w:val="18"/>
          <w:szCs w:val="18"/>
        </w:rPr>
        <w:t xml:space="preserve">ječji vrtić te </w:t>
      </w:r>
      <w:r w:rsidR="003F4DAE" w:rsidRPr="00553095">
        <w:rPr>
          <w:rFonts w:ascii="Arial" w:hAnsi="Arial" w:cs="Arial"/>
          <w:sz w:val="18"/>
          <w:szCs w:val="18"/>
        </w:rPr>
        <w:t>ostale</w:t>
      </w:r>
      <w:r w:rsidRPr="00553095">
        <w:rPr>
          <w:rFonts w:ascii="Arial" w:hAnsi="Arial" w:cs="Arial"/>
          <w:sz w:val="18"/>
          <w:szCs w:val="18"/>
        </w:rPr>
        <w:t xml:space="preserve"> tekuće pomoći</w:t>
      </w:r>
      <w:r w:rsidR="008B1E87" w:rsidRPr="00553095">
        <w:rPr>
          <w:rFonts w:ascii="Arial" w:hAnsi="Arial" w:cs="Arial"/>
          <w:sz w:val="18"/>
          <w:szCs w:val="18"/>
        </w:rPr>
        <w:t xml:space="preserve"> od </w:t>
      </w:r>
      <w:r w:rsidR="00553095" w:rsidRPr="00553095">
        <w:rPr>
          <w:rFonts w:ascii="Arial" w:hAnsi="Arial" w:cs="Arial"/>
          <w:sz w:val="18"/>
          <w:szCs w:val="18"/>
        </w:rPr>
        <w:t>2.198,40</w:t>
      </w:r>
      <w:r w:rsidR="008B1E87" w:rsidRPr="00553095">
        <w:rPr>
          <w:rFonts w:ascii="Arial" w:hAnsi="Arial" w:cs="Arial"/>
          <w:sz w:val="18"/>
          <w:szCs w:val="18"/>
        </w:rPr>
        <w:t xml:space="preserve"> za </w:t>
      </w:r>
      <w:r w:rsidR="00553095" w:rsidRPr="00553095">
        <w:rPr>
          <w:rFonts w:ascii="Arial" w:hAnsi="Arial" w:cs="Arial"/>
          <w:sz w:val="18"/>
          <w:szCs w:val="18"/>
        </w:rPr>
        <w:t>D</w:t>
      </w:r>
      <w:r w:rsidR="008B1E87" w:rsidRPr="00553095">
        <w:rPr>
          <w:rFonts w:ascii="Arial" w:hAnsi="Arial" w:cs="Arial"/>
          <w:sz w:val="18"/>
          <w:szCs w:val="18"/>
        </w:rPr>
        <w:t>ječji vrtić</w:t>
      </w:r>
      <w:r w:rsidRPr="00553095">
        <w:rPr>
          <w:rFonts w:ascii="Arial" w:hAnsi="Arial" w:cs="Arial"/>
          <w:sz w:val="18"/>
          <w:szCs w:val="18"/>
        </w:rPr>
        <w:t>.</w:t>
      </w:r>
    </w:p>
    <w:p w14:paraId="38520F96" w14:textId="77777777" w:rsidR="003F4DAE" w:rsidRPr="0044293B" w:rsidRDefault="003F4DAE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D9E560" w14:textId="78D43C13" w:rsidR="00760997" w:rsidRPr="00431171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</w:rPr>
        <w:t>Prihodi od imovine (skupina 64</w:t>
      </w:r>
      <w:r w:rsidR="00994228" w:rsidRPr="00431171">
        <w:rPr>
          <w:rFonts w:ascii="Arial" w:hAnsi="Arial" w:cs="Arial"/>
          <w:b/>
          <w:sz w:val="18"/>
          <w:szCs w:val="18"/>
        </w:rPr>
        <w:t>)</w:t>
      </w:r>
      <w:r w:rsidRPr="00431171">
        <w:rPr>
          <w:rFonts w:ascii="Arial" w:hAnsi="Arial" w:cs="Arial"/>
          <w:sz w:val="18"/>
          <w:szCs w:val="18"/>
        </w:rPr>
        <w:t xml:space="preserve"> - naknade za koncesije, zakup poslovnog prostora i javnih površina, spomenička renta, naknada za nezakonito izgrađene zgrade</w:t>
      </w:r>
      <w:r w:rsidR="00F232B8" w:rsidRPr="00431171">
        <w:rPr>
          <w:rFonts w:ascii="Arial" w:hAnsi="Arial" w:cs="Arial"/>
          <w:sz w:val="18"/>
          <w:szCs w:val="18"/>
        </w:rPr>
        <w:t>, prihodi od zateznih kamata</w:t>
      </w:r>
      <w:r w:rsidR="00C73008" w:rsidRPr="00431171">
        <w:rPr>
          <w:rFonts w:ascii="Arial" w:hAnsi="Arial" w:cs="Arial"/>
          <w:sz w:val="18"/>
          <w:szCs w:val="18"/>
        </w:rPr>
        <w:t>,</w:t>
      </w:r>
      <w:r w:rsidRPr="00431171">
        <w:rPr>
          <w:rFonts w:ascii="Arial" w:hAnsi="Arial" w:cs="Arial"/>
          <w:sz w:val="18"/>
          <w:szCs w:val="18"/>
        </w:rPr>
        <w:t xml:space="preserve"> ostvareni su  u iznosu od</w:t>
      </w:r>
      <w:r w:rsidR="00C73008" w:rsidRPr="00431171">
        <w:rPr>
          <w:rFonts w:ascii="Arial" w:hAnsi="Arial" w:cs="Arial"/>
          <w:sz w:val="18"/>
          <w:szCs w:val="18"/>
        </w:rPr>
        <w:t xml:space="preserve"> 201.800,56</w:t>
      </w:r>
      <w:r w:rsidRPr="00431171">
        <w:rPr>
          <w:rFonts w:ascii="Arial" w:hAnsi="Arial" w:cs="Arial"/>
          <w:sz w:val="18"/>
          <w:szCs w:val="18"/>
        </w:rPr>
        <w:t xml:space="preserve"> ili </w:t>
      </w:r>
      <w:r w:rsidR="00C73008" w:rsidRPr="00431171">
        <w:rPr>
          <w:rFonts w:ascii="Arial" w:hAnsi="Arial" w:cs="Arial"/>
          <w:sz w:val="18"/>
          <w:szCs w:val="18"/>
        </w:rPr>
        <w:t>19</w:t>
      </w:r>
      <w:r w:rsidRPr="00431171">
        <w:rPr>
          <w:rFonts w:ascii="Arial" w:hAnsi="Arial" w:cs="Arial"/>
          <w:sz w:val="18"/>
          <w:szCs w:val="18"/>
        </w:rPr>
        <w:t>% u odnosu na plan</w:t>
      </w:r>
      <w:r w:rsidR="00E67725" w:rsidRPr="00431171">
        <w:rPr>
          <w:rFonts w:ascii="Arial" w:hAnsi="Arial" w:cs="Arial"/>
          <w:sz w:val="18"/>
          <w:szCs w:val="18"/>
        </w:rPr>
        <w:t>,</w:t>
      </w:r>
      <w:r w:rsidRPr="00431171">
        <w:rPr>
          <w:rFonts w:ascii="Arial" w:hAnsi="Arial" w:cs="Arial"/>
          <w:sz w:val="18"/>
          <w:szCs w:val="18"/>
        </w:rPr>
        <w:t xml:space="preserve"> a </w:t>
      </w:r>
      <w:r w:rsidR="00C73008" w:rsidRPr="00431171">
        <w:rPr>
          <w:rFonts w:ascii="Arial" w:hAnsi="Arial" w:cs="Arial"/>
          <w:sz w:val="18"/>
          <w:szCs w:val="18"/>
        </w:rPr>
        <w:t>19</w:t>
      </w:r>
      <w:r w:rsidRPr="00431171">
        <w:rPr>
          <w:rFonts w:ascii="Arial" w:hAnsi="Arial" w:cs="Arial"/>
          <w:sz w:val="18"/>
          <w:szCs w:val="18"/>
        </w:rPr>
        <w:t xml:space="preserve">% </w:t>
      </w:r>
      <w:r w:rsidR="00300E9B" w:rsidRPr="00431171">
        <w:rPr>
          <w:rFonts w:ascii="Arial" w:hAnsi="Arial" w:cs="Arial"/>
          <w:sz w:val="18"/>
          <w:szCs w:val="18"/>
        </w:rPr>
        <w:t>više</w:t>
      </w:r>
      <w:r w:rsidRPr="00431171">
        <w:rPr>
          <w:rFonts w:ascii="Arial" w:hAnsi="Arial" w:cs="Arial"/>
          <w:sz w:val="18"/>
          <w:szCs w:val="18"/>
        </w:rPr>
        <w:t xml:space="preserve"> u odnosu na isto razdoblje prethodne godine. </w:t>
      </w:r>
    </w:p>
    <w:p w14:paraId="73A4CCAD" w14:textId="77777777" w:rsidR="00335670" w:rsidRPr="00431171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15091" w14:textId="6F89FA9B" w:rsidR="00760997" w:rsidRPr="00431171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</w:rPr>
        <w:t>Prihodi od upravnih i administrativnih pristojbi, pristojbi po posebnim propisima i naknada (skupina 65</w:t>
      </w:r>
      <w:r w:rsidR="00994228" w:rsidRPr="00431171">
        <w:rPr>
          <w:rFonts w:ascii="Arial" w:hAnsi="Arial" w:cs="Arial"/>
          <w:b/>
          <w:sz w:val="18"/>
          <w:szCs w:val="18"/>
        </w:rPr>
        <w:t>)</w:t>
      </w:r>
      <w:r w:rsidRPr="00431171">
        <w:rPr>
          <w:rFonts w:ascii="Arial" w:hAnsi="Arial" w:cs="Arial"/>
          <w:sz w:val="18"/>
          <w:szCs w:val="18"/>
        </w:rPr>
        <w:t xml:space="preserve"> - komunalna naknada, komunalni doprinos, vodni doprinos, </w:t>
      </w:r>
      <w:r w:rsidR="009F235E" w:rsidRPr="00431171">
        <w:rPr>
          <w:rFonts w:ascii="Arial" w:hAnsi="Arial" w:cs="Arial"/>
          <w:sz w:val="18"/>
          <w:szCs w:val="18"/>
        </w:rPr>
        <w:t>turističke</w:t>
      </w:r>
      <w:r w:rsidRPr="00431171">
        <w:rPr>
          <w:rFonts w:ascii="Arial" w:hAnsi="Arial" w:cs="Arial"/>
          <w:sz w:val="18"/>
          <w:szCs w:val="18"/>
        </w:rPr>
        <w:t xml:space="preserve"> pristojbe, prihod od prodaje drž.biljega, sufinanciranja i dr., ostvareni su u iznosu od </w:t>
      </w:r>
      <w:r w:rsidR="00C73008" w:rsidRPr="00431171">
        <w:rPr>
          <w:rFonts w:ascii="Arial" w:hAnsi="Arial" w:cs="Arial"/>
          <w:sz w:val="18"/>
          <w:szCs w:val="18"/>
        </w:rPr>
        <w:t>408.651,86</w:t>
      </w:r>
      <w:r w:rsidRPr="00431171">
        <w:rPr>
          <w:rFonts w:ascii="Arial" w:hAnsi="Arial" w:cs="Arial"/>
          <w:sz w:val="18"/>
          <w:szCs w:val="18"/>
        </w:rPr>
        <w:t xml:space="preserve"> ili </w:t>
      </w:r>
      <w:r w:rsidR="008465C5" w:rsidRPr="00431171">
        <w:rPr>
          <w:rFonts w:ascii="Arial" w:hAnsi="Arial" w:cs="Arial"/>
          <w:sz w:val="18"/>
          <w:szCs w:val="18"/>
        </w:rPr>
        <w:t>3</w:t>
      </w:r>
      <w:r w:rsidR="00C73008" w:rsidRPr="00431171">
        <w:rPr>
          <w:rFonts w:ascii="Arial" w:hAnsi="Arial" w:cs="Arial"/>
          <w:sz w:val="18"/>
          <w:szCs w:val="18"/>
        </w:rPr>
        <w:t>4</w:t>
      </w:r>
      <w:r w:rsidRPr="00431171">
        <w:rPr>
          <w:rFonts w:ascii="Arial" w:hAnsi="Arial" w:cs="Arial"/>
          <w:sz w:val="18"/>
          <w:szCs w:val="18"/>
        </w:rPr>
        <w:t xml:space="preserve">% od plana a </w:t>
      </w:r>
      <w:r w:rsidR="00C73008" w:rsidRPr="00431171">
        <w:rPr>
          <w:rFonts w:ascii="Arial" w:hAnsi="Arial" w:cs="Arial"/>
          <w:sz w:val="18"/>
          <w:szCs w:val="18"/>
        </w:rPr>
        <w:t>5</w:t>
      </w:r>
      <w:r w:rsidRPr="00431171">
        <w:rPr>
          <w:rFonts w:ascii="Arial" w:hAnsi="Arial" w:cs="Arial"/>
          <w:sz w:val="18"/>
          <w:szCs w:val="18"/>
        </w:rPr>
        <w:t xml:space="preserve">% </w:t>
      </w:r>
      <w:r w:rsidR="008465C5" w:rsidRPr="00431171">
        <w:rPr>
          <w:rFonts w:ascii="Arial" w:hAnsi="Arial" w:cs="Arial"/>
          <w:sz w:val="18"/>
          <w:szCs w:val="18"/>
        </w:rPr>
        <w:t>manje</w:t>
      </w:r>
      <w:r w:rsidRPr="00431171">
        <w:rPr>
          <w:rFonts w:ascii="Arial" w:hAnsi="Arial" w:cs="Arial"/>
          <w:sz w:val="18"/>
          <w:szCs w:val="18"/>
        </w:rPr>
        <w:t xml:space="preserve"> nego u istom razdoblju  prethodne godine. Tu su iskazani prihodi korisnika u iznosu od </w:t>
      </w:r>
      <w:r w:rsidR="00517487" w:rsidRPr="00431171">
        <w:rPr>
          <w:rFonts w:ascii="Arial" w:hAnsi="Arial" w:cs="Arial"/>
          <w:sz w:val="18"/>
          <w:szCs w:val="18"/>
        </w:rPr>
        <w:t>53.193,15</w:t>
      </w:r>
      <w:r w:rsidRPr="00431171">
        <w:rPr>
          <w:rFonts w:ascii="Arial" w:hAnsi="Arial" w:cs="Arial"/>
          <w:sz w:val="18"/>
          <w:szCs w:val="18"/>
        </w:rPr>
        <w:t xml:space="preserve"> (Dječji vrtić Korčula-sufinanciranja cijene usluge vrtića od roditelja).</w:t>
      </w:r>
    </w:p>
    <w:p w14:paraId="660B7B63" w14:textId="77777777" w:rsidR="00335670" w:rsidRPr="00431171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0BCA977" w14:textId="59DF8B6F" w:rsidR="00760997" w:rsidRPr="00431171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</w:rPr>
        <w:t>Prihodi od prodaje proizvoda i robe te pruženih usluga i prihodi od donacija (skupina 66</w:t>
      </w:r>
      <w:r w:rsidRPr="00431171">
        <w:rPr>
          <w:rFonts w:ascii="Arial" w:hAnsi="Arial" w:cs="Arial"/>
          <w:sz w:val="18"/>
          <w:szCs w:val="18"/>
        </w:rPr>
        <w:t xml:space="preserve">) ostvareni su u iznosu od </w:t>
      </w:r>
      <w:r w:rsidR="00F53220" w:rsidRPr="00431171">
        <w:rPr>
          <w:rFonts w:ascii="Arial" w:hAnsi="Arial" w:cs="Arial"/>
          <w:sz w:val="18"/>
          <w:szCs w:val="18"/>
        </w:rPr>
        <w:t>56.172,21</w:t>
      </w:r>
      <w:r w:rsidR="002379A6" w:rsidRPr="00431171">
        <w:rPr>
          <w:rFonts w:ascii="Arial" w:hAnsi="Arial" w:cs="Arial"/>
          <w:sz w:val="18"/>
          <w:szCs w:val="18"/>
        </w:rPr>
        <w:t xml:space="preserve"> ili </w:t>
      </w:r>
      <w:r w:rsidR="00F53220" w:rsidRPr="00431171">
        <w:rPr>
          <w:rFonts w:ascii="Arial" w:hAnsi="Arial" w:cs="Arial"/>
          <w:sz w:val="18"/>
          <w:szCs w:val="18"/>
        </w:rPr>
        <w:t>47</w:t>
      </w:r>
      <w:r w:rsidR="002379A6" w:rsidRPr="00431171">
        <w:rPr>
          <w:rFonts w:ascii="Arial" w:hAnsi="Arial" w:cs="Arial"/>
          <w:sz w:val="18"/>
          <w:szCs w:val="18"/>
        </w:rPr>
        <w:t>% od plana</w:t>
      </w:r>
      <w:r w:rsidR="008F3957" w:rsidRPr="00431171">
        <w:rPr>
          <w:rFonts w:ascii="Arial" w:hAnsi="Arial" w:cs="Arial"/>
          <w:sz w:val="18"/>
          <w:szCs w:val="18"/>
        </w:rPr>
        <w:t>,</w:t>
      </w:r>
      <w:r w:rsidR="002379A6" w:rsidRPr="00431171">
        <w:rPr>
          <w:rFonts w:ascii="Arial" w:hAnsi="Arial" w:cs="Arial"/>
          <w:sz w:val="18"/>
          <w:szCs w:val="18"/>
        </w:rPr>
        <w:t xml:space="preserve"> a </w:t>
      </w:r>
      <w:r w:rsidR="00F53220" w:rsidRPr="00431171">
        <w:rPr>
          <w:rFonts w:ascii="Arial" w:hAnsi="Arial" w:cs="Arial"/>
          <w:sz w:val="18"/>
          <w:szCs w:val="18"/>
        </w:rPr>
        <w:t>7</w:t>
      </w:r>
      <w:r w:rsidRPr="00431171">
        <w:rPr>
          <w:rFonts w:ascii="Arial" w:hAnsi="Arial" w:cs="Arial"/>
          <w:sz w:val="18"/>
          <w:szCs w:val="18"/>
        </w:rPr>
        <w:t xml:space="preserve">% </w:t>
      </w:r>
      <w:r w:rsidR="00C840C8" w:rsidRPr="00431171">
        <w:rPr>
          <w:rFonts w:ascii="Arial" w:hAnsi="Arial" w:cs="Arial"/>
          <w:sz w:val="18"/>
          <w:szCs w:val="18"/>
        </w:rPr>
        <w:t>više</w:t>
      </w:r>
      <w:r w:rsidRPr="00431171">
        <w:rPr>
          <w:rFonts w:ascii="Arial" w:hAnsi="Arial" w:cs="Arial"/>
          <w:sz w:val="18"/>
          <w:szCs w:val="18"/>
        </w:rPr>
        <w:t xml:space="preserve"> nego u istom razdoblju prethodne godine. Pri</w:t>
      </w:r>
      <w:r w:rsidR="002379A6" w:rsidRPr="00431171">
        <w:rPr>
          <w:rFonts w:ascii="Arial" w:hAnsi="Arial" w:cs="Arial"/>
          <w:sz w:val="18"/>
          <w:szCs w:val="18"/>
        </w:rPr>
        <w:t xml:space="preserve">hodi ove skupine </w:t>
      </w:r>
      <w:r w:rsidRPr="00431171">
        <w:rPr>
          <w:rFonts w:ascii="Arial" w:hAnsi="Arial" w:cs="Arial"/>
          <w:sz w:val="18"/>
          <w:szCs w:val="18"/>
        </w:rPr>
        <w:t>odnose</w:t>
      </w:r>
      <w:r w:rsidR="002379A6" w:rsidRPr="00431171">
        <w:rPr>
          <w:rFonts w:ascii="Arial" w:hAnsi="Arial" w:cs="Arial"/>
          <w:sz w:val="18"/>
          <w:szCs w:val="18"/>
        </w:rPr>
        <w:t xml:space="preserve"> se</w:t>
      </w:r>
      <w:r w:rsidRPr="00431171">
        <w:rPr>
          <w:rFonts w:ascii="Arial" w:hAnsi="Arial" w:cs="Arial"/>
          <w:sz w:val="18"/>
          <w:szCs w:val="18"/>
        </w:rPr>
        <w:t xml:space="preserve"> </w:t>
      </w:r>
      <w:r w:rsidR="008F3957" w:rsidRPr="00431171">
        <w:rPr>
          <w:rFonts w:ascii="Arial" w:hAnsi="Arial" w:cs="Arial"/>
          <w:sz w:val="18"/>
          <w:szCs w:val="18"/>
        </w:rPr>
        <w:t xml:space="preserve">pretežito </w:t>
      </w:r>
      <w:r w:rsidRPr="00431171">
        <w:rPr>
          <w:rFonts w:ascii="Arial" w:hAnsi="Arial" w:cs="Arial"/>
          <w:sz w:val="18"/>
          <w:szCs w:val="18"/>
        </w:rPr>
        <w:t>na proračunske korisnike</w:t>
      </w:r>
      <w:r w:rsidR="008F3957" w:rsidRPr="00431171">
        <w:rPr>
          <w:rFonts w:ascii="Arial" w:hAnsi="Arial" w:cs="Arial"/>
          <w:sz w:val="18"/>
          <w:szCs w:val="18"/>
        </w:rPr>
        <w:t xml:space="preserve"> </w:t>
      </w:r>
      <w:r w:rsidR="004C0CF4" w:rsidRPr="00431171">
        <w:rPr>
          <w:rFonts w:ascii="Arial" w:hAnsi="Arial" w:cs="Arial"/>
          <w:sz w:val="18"/>
          <w:szCs w:val="18"/>
        </w:rPr>
        <w:t>45.940,93</w:t>
      </w:r>
      <w:r w:rsidR="008F3957" w:rsidRPr="00431171">
        <w:rPr>
          <w:rFonts w:ascii="Arial" w:hAnsi="Arial" w:cs="Arial"/>
          <w:sz w:val="18"/>
          <w:szCs w:val="18"/>
        </w:rPr>
        <w:t>,</w:t>
      </w:r>
      <w:r w:rsidRPr="00431171">
        <w:rPr>
          <w:rFonts w:ascii="Arial" w:hAnsi="Arial" w:cs="Arial"/>
          <w:sz w:val="18"/>
          <w:szCs w:val="18"/>
        </w:rPr>
        <w:t xml:space="preserve"> i to</w:t>
      </w:r>
      <w:r w:rsidR="004C0CF4" w:rsidRPr="00431171">
        <w:rPr>
          <w:rFonts w:ascii="Arial" w:hAnsi="Arial" w:cs="Arial"/>
          <w:sz w:val="18"/>
          <w:szCs w:val="18"/>
        </w:rPr>
        <w:t xml:space="preserve"> na</w:t>
      </w:r>
      <w:r w:rsidRPr="00431171">
        <w:rPr>
          <w:rFonts w:ascii="Arial" w:hAnsi="Arial" w:cs="Arial"/>
          <w:sz w:val="18"/>
          <w:szCs w:val="18"/>
        </w:rPr>
        <w:t xml:space="preserve"> prihode od pruženi</w:t>
      </w:r>
      <w:r w:rsidR="002379A6" w:rsidRPr="00431171">
        <w:rPr>
          <w:rFonts w:ascii="Arial" w:hAnsi="Arial" w:cs="Arial"/>
          <w:sz w:val="18"/>
          <w:szCs w:val="18"/>
        </w:rPr>
        <w:t xml:space="preserve">h usluga </w:t>
      </w:r>
      <w:r w:rsidR="004C0CF4" w:rsidRPr="00431171">
        <w:rPr>
          <w:rFonts w:ascii="Arial" w:hAnsi="Arial" w:cs="Arial"/>
          <w:sz w:val="18"/>
          <w:szCs w:val="18"/>
        </w:rPr>
        <w:t xml:space="preserve">i prodaje proizvoda i robe </w:t>
      </w:r>
      <w:r w:rsidR="002379A6" w:rsidRPr="00431171">
        <w:rPr>
          <w:rFonts w:ascii="Arial" w:hAnsi="Arial" w:cs="Arial"/>
          <w:sz w:val="18"/>
          <w:szCs w:val="18"/>
        </w:rPr>
        <w:t>proračunskih korisnika</w:t>
      </w:r>
      <w:r w:rsidR="004C0CF4" w:rsidRPr="00431171">
        <w:rPr>
          <w:rFonts w:ascii="Arial" w:hAnsi="Arial" w:cs="Arial"/>
          <w:sz w:val="18"/>
          <w:szCs w:val="18"/>
        </w:rPr>
        <w:t>,</w:t>
      </w:r>
      <w:r w:rsidR="002379A6" w:rsidRPr="00431171">
        <w:rPr>
          <w:rFonts w:ascii="Arial" w:hAnsi="Arial" w:cs="Arial"/>
          <w:sz w:val="18"/>
          <w:szCs w:val="18"/>
        </w:rPr>
        <w:t xml:space="preserve"> te donacije koj</w:t>
      </w:r>
      <w:r w:rsidR="00662F55" w:rsidRPr="00431171">
        <w:rPr>
          <w:rFonts w:ascii="Arial" w:hAnsi="Arial" w:cs="Arial"/>
          <w:sz w:val="18"/>
          <w:szCs w:val="18"/>
        </w:rPr>
        <w:t xml:space="preserve">e su ostvarene u iznosu od </w:t>
      </w:r>
      <w:r w:rsidR="004C0CF4" w:rsidRPr="00431171">
        <w:rPr>
          <w:rFonts w:ascii="Arial" w:hAnsi="Arial" w:cs="Arial"/>
          <w:sz w:val="18"/>
          <w:szCs w:val="18"/>
        </w:rPr>
        <w:t>10.231,28</w:t>
      </w:r>
      <w:r w:rsidR="002379A6" w:rsidRPr="00431171">
        <w:rPr>
          <w:rFonts w:ascii="Arial" w:hAnsi="Arial" w:cs="Arial"/>
          <w:sz w:val="18"/>
          <w:szCs w:val="18"/>
        </w:rPr>
        <w:t>.</w:t>
      </w:r>
    </w:p>
    <w:p w14:paraId="71AD0C79" w14:textId="77777777" w:rsidR="00335670" w:rsidRPr="00431171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0BDE516" w14:textId="618C3293" w:rsidR="00760997" w:rsidRPr="00431171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</w:rPr>
        <w:t>Prihodi od kazni, upravnih mjera i ostali prihodi (skupina 68</w:t>
      </w:r>
      <w:r w:rsidRPr="00431171">
        <w:rPr>
          <w:rFonts w:ascii="Arial" w:hAnsi="Arial" w:cs="Arial"/>
          <w:sz w:val="18"/>
          <w:szCs w:val="18"/>
        </w:rPr>
        <w:t xml:space="preserve">) ostvareni su s </w:t>
      </w:r>
      <w:r w:rsidR="00684913" w:rsidRPr="00431171">
        <w:rPr>
          <w:rFonts w:ascii="Arial" w:hAnsi="Arial" w:cs="Arial"/>
          <w:sz w:val="18"/>
          <w:szCs w:val="18"/>
        </w:rPr>
        <w:t>7.691,76</w:t>
      </w:r>
      <w:r w:rsidRPr="00431171">
        <w:rPr>
          <w:rFonts w:ascii="Arial" w:hAnsi="Arial" w:cs="Arial"/>
          <w:sz w:val="18"/>
          <w:szCs w:val="18"/>
        </w:rPr>
        <w:t xml:space="preserve"> ili</w:t>
      </w:r>
      <w:r w:rsidR="00684913" w:rsidRPr="00431171">
        <w:rPr>
          <w:rFonts w:ascii="Arial" w:hAnsi="Arial" w:cs="Arial"/>
          <w:sz w:val="18"/>
          <w:szCs w:val="18"/>
        </w:rPr>
        <w:t xml:space="preserve"> 42</w:t>
      </w:r>
      <w:r w:rsidRPr="00431171">
        <w:rPr>
          <w:rFonts w:ascii="Arial" w:hAnsi="Arial" w:cs="Arial"/>
          <w:sz w:val="18"/>
          <w:szCs w:val="18"/>
        </w:rPr>
        <w:t xml:space="preserve">% </w:t>
      </w:r>
      <w:r w:rsidR="00684913" w:rsidRPr="00431171">
        <w:rPr>
          <w:rFonts w:ascii="Arial" w:hAnsi="Arial" w:cs="Arial"/>
          <w:sz w:val="18"/>
          <w:szCs w:val="18"/>
        </w:rPr>
        <w:t>manje</w:t>
      </w:r>
      <w:r w:rsidRPr="00431171">
        <w:rPr>
          <w:rFonts w:ascii="Arial" w:hAnsi="Arial" w:cs="Arial"/>
          <w:sz w:val="18"/>
          <w:szCs w:val="18"/>
        </w:rPr>
        <w:t xml:space="preserve"> nego prethodne godine, </w:t>
      </w:r>
      <w:r w:rsidR="00F237FF" w:rsidRPr="00431171">
        <w:rPr>
          <w:rFonts w:ascii="Arial" w:hAnsi="Arial" w:cs="Arial"/>
          <w:sz w:val="18"/>
          <w:szCs w:val="18"/>
        </w:rPr>
        <w:t>22</w:t>
      </w:r>
      <w:r w:rsidRPr="00431171">
        <w:rPr>
          <w:rFonts w:ascii="Arial" w:hAnsi="Arial" w:cs="Arial"/>
          <w:sz w:val="18"/>
          <w:szCs w:val="18"/>
        </w:rPr>
        <w:t>% od plana. Ovi prihodi se odnose na prihode Grada i to prihode od kazni za prometne i ostale prekršaje u nadležnosti MUP-a.</w:t>
      </w:r>
    </w:p>
    <w:p w14:paraId="0B98D7AD" w14:textId="77777777" w:rsidR="00335670" w:rsidRPr="00431171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00A794C" w14:textId="3256D407" w:rsidR="0050049F" w:rsidRPr="00431171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  <w:u w:val="single"/>
        </w:rPr>
        <w:t>Prihodi od prodaje nefinancijske imovine</w:t>
      </w:r>
      <w:r w:rsidRPr="00431171">
        <w:rPr>
          <w:rFonts w:ascii="Arial" w:hAnsi="Arial" w:cs="Arial"/>
          <w:b/>
          <w:sz w:val="18"/>
          <w:szCs w:val="18"/>
        </w:rPr>
        <w:t xml:space="preserve"> (razred 7</w:t>
      </w:r>
      <w:r w:rsidRPr="00431171">
        <w:rPr>
          <w:rFonts w:ascii="Arial" w:hAnsi="Arial" w:cs="Arial"/>
          <w:sz w:val="18"/>
          <w:szCs w:val="18"/>
        </w:rPr>
        <w:t xml:space="preserve">) ostvareni su s </w:t>
      </w:r>
      <w:r w:rsidR="00F237FF" w:rsidRPr="00431171">
        <w:rPr>
          <w:rFonts w:ascii="Arial" w:hAnsi="Arial" w:cs="Arial"/>
          <w:sz w:val="18"/>
          <w:szCs w:val="18"/>
        </w:rPr>
        <w:t>4.317,97 ili</w:t>
      </w:r>
      <w:r w:rsidR="00662F55" w:rsidRPr="00431171">
        <w:rPr>
          <w:rFonts w:ascii="Arial" w:hAnsi="Arial" w:cs="Arial"/>
          <w:sz w:val="18"/>
          <w:szCs w:val="18"/>
        </w:rPr>
        <w:t xml:space="preserve"> </w:t>
      </w:r>
      <w:r w:rsidR="00F237FF" w:rsidRPr="00431171">
        <w:rPr>
          <w:rFonts w:ascii="Arial" w:hAnsi="Arial" w:cs="Arial"/>
          <w:sz w:val="18"/>
          <w:szCs w:val="18"/>
        </w:rPr>
        <w:t>88% manje</w:t>
      </w:r>
      <w:r w:rsidRPr="00431171">
        <w:rPr>
          <w:rFonts w:ascii="Arial" w:hAnsi="Arial" w:cs="Arial"/>
          <w:sz w:val="18"/>
          <w:szCs w:val="18"/>
        </w:rPr>
        <w:t xml:space="preserve"> nego prošle godine</w:t>
      </w:r>
      <w:r w:rsidR="00F237FF" w:rsidRPr="00431171">
        <w:rPr>
          <w:rFonts w:ascii="Arial" w:hAnsi="Arial" w:cs="Arial"/>
          <w:sz w:val="18"/>
          <w:szCs w:val="18"/>
        </w:rPr>
        <w:t>, a 2% u odnosu na planirane</w:t>
      </w:r>
      <w:r w:rsidR="00BF5577" w:rsidRPr="00431171">
        <w:rPr>
          <w:rFonts w:ascii="Arial" w:hAnsi="Arial" w:cs="Arial"/>
          <w:sz w:val="18"/>
          <w:szCs w:val="18"/>
        </w:rPr>
        <w:t>. Ovi prihod</w:t>
      </w:r>
      <w:r w:rsidR="008D4E62" w:rsidRPr="00431171">
        <w:rPr>
          <w:rFonts w:ascii="Arial" w:hAnsi="Arial" w:cs="Arial"/>
          <w:sz w:val="18"/>
          <w:szCs w:val="18"/>
        </w:rPr>
        <w:t xml:space="preserve">i </w:t>
      </w:r>
      <w:r w:rsidR="00BF5577" w:rsidRPr="00431171">
        <w:rPr>
          <w:rFonts w:ascii="Arial" w:hAnsi="Arial" w:cs="Arial"/>
          <w:sz w:val="18"/>
          <w:szCs w:val="18"/>
        </w:rPr>
        <w:t xml:space="preserve">odnose se na prodaju </w:t>
      </w:r>
      <w:r w:rsidR="00434E78" w:rsidRPr="00431171">
        <w:rPr>
          <w:rFonts w:ascii="Arial" w:hAnsi="Arial" w:cs="Arial"/>
          <w:sz w:val="18"/>
          <w:szCs w:val="18"/>
        </w:rPr>
        <w:t xml:space="preserve">gradskih zemljišta i </w:t>
      </w:r>
      <w:r w:rsidR="00BF5577" w:rsidRPr="00431171">
        <w:rPr>
          <w:rFonts w:ascii="Arial" w:hAnsi="Arial" w:cs="Arial"/>
          <w:sz w:val="18"/>
          <w:szCs w:val="18"/>
        </w:rPr>
        <w:t xml:space="preserve">stanova </w:t>
      </w:r>
      <w:r w:rsidR="008D4E62" w:rsidRPr="00431171">
        <w:rPr>
          <w:rFonts w:ascii="Arial" w:hAnsi="Arial" w:cs="Arial"/>
          <w:sz w:val="18"/>
          <w:szCs w:val="18"/>
        </w:rPr>
        <w:t>u vlasništvu Grada.</w:t>
      </w:r>
      <w:r w:rsidRPr="00431171">
        <w:rPr>
          <w:rFonts w:ascii="Arial" w:hAnsi="Arial" w:cs="Arial"/>
          <w:sz w:val="18"/>
          <w:szCs w:val="18"/>
        </w:rPr>
        <w:t xml:space="preserve">  </w:t>
      </w:r>
    </w:p>
    <w:p w14:paraId="0F8BC618" w14:textId="77777777" w:rsidR="00335670" w:rsidRPr="00431171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791143D" w14:textId="41010461" w:rsidR="00335670" w:rsidRPr="0044293B" w:rsidRDefault="00A56D38" w:rsidP="003C6D04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  <w:u w:val="single"/>
        </w:rPr>
        <w:t>Primici od zaduživanja</w:t>
      </w:r>
      <w:r w:rsidRPr="00431171">
        <w:rPr>
          <w:rFonts w:ascii="Arial" w:hAnsi="Arial" w:cs="Arial"/>
          <w:b/>
          <w:sz w:val="18"/>
          <w:szCs w:val="18"/>
        </w:rPr>
        <w:t xml:space="preserve"> (razred 8) </w:t>
      </w:r>
      <w:r w:rsidR="00973AB1" w:rsidRPr="00431171">
        <w:rPr>
          <w:rFonts w:ascii="Arial" w:hAnsi="Arial" w:cs="Arial"/>
          <w:bCs/>
          <w:sz w:val="18"/>
          <w:szCs w:val="18"/>
        </w:rPr>
        <w:t>u ovom razdoblju</w:t>
      </w:r>
      <w:r w:rsidR="00132B02" w:rsidRPr="00431171">
        <w:rPr>
          <w:rFonts w:ascii="Arial" w:hAnsi="Arial" w:cs="Arial"/>
          <w:bCs/>
          <w:sz w:val="18"/>
          <w:szCs w:val="18"/>
        </w:rPr>
        <w:t xml:space="preserve"> nisu ostvareni, dok su u prethodnoj godini iznosili </w:t>
      </w:r>
      <w:r w:rsidR="003C6D04" w:rsidRPr="00431171">
        <w:rPr>
          <w:rFonts w:ascii="Arial" w:hAnsi="Arial" w:cs="Arial"/>
          <w:bCs/>
          <w:sz w:val="18"/>
          <w:szCs w:val="18"/>
        </w:rPr>
        <w:t>595.474,05.</w:t>
      </w:r>
    </w:p>
    <w:p w14:paraId="170ED321" w14:textId="25FA85D9" w:rsidR="00F02FF7" w:rsidRDefault="00F02FF7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4A2D0F2C" w14:textId="77777777" w:rsidR="003C6D04" w:rsidRDefault="003C6D04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6ED96A6" w14:textId="33B9165A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E9B4F70" w14:textId="0743663D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3FB5F0E0" w14:textId="41E69C7D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470E3C74" w14:textId="08320E34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6D4A3CAA" w14:textId="77777777" w:rsidR="00C532E3" w:rsidRDefault="00C532E3" w:rsidP="00636131">
      <w:pPr>
        <w:rPr>
          <w:rFonts w:ascii="Arial" w:hAnsi="Arial" w:cs="Arial"/>
          <w:b/>
          <w:i/>
          <w:sz w:val="20"/>
          <w:szCs w:val="20"/>
        </w:rPr>
      </w:pPr>
    </w:p>
    <w:p w14:paraId="0FEBA2B5" w14:textId="77777777" w:rsidR="004A0571" w:rsidRDefault="004A0571" w:rsidP="00636131">
      <w:pPr>
        <w:rPr>
          <w:rFonts w:ascii="Arial" w:hAnsi="Arial" w:cs="Arial"/>
          <w:b/>
          <w:i/>
          <w:sz w:val="20"/>
          <w:szCs w:val="20"/>
        </w:rPr>
      </w:pPr>
    </w:p>
    <w:p w14:paraId="5895B456" w14:textId="0C220377" w:rsidR="00636131" w:rsidRDefault="00636131" w:rsidP="00636131">
      <w:pPr>
        <w:rPr>
          <w:rFonts w:ascii="Arial" w:hAnsi="Arial" w:cs="Arial"/>
          <w:b/>
          <w:i/>
          <w:sz w:val="20"/>
          <w:szCs w:val="20"/>
        </w:rPr>
      </w:pPr>
      <w:r w:rsidRPr="00431171">
        <w:rPr>
          <w:rFonts w:ascii="Arial" w:hAnsi="Arial" w:cs="Arial"/>
          <w:b/>
          <w:i/>
          <w:sz w:val="20"/>
          <w:szCs w:val="20"/>
        </w:rPr>
        <w:lastRenderedPageBreak/>
        <w:t>Prihodi</w:t>
      </w:r>
      <w:r w:rsidRPr="00250FF3">
        <w:rPr>
          <w:rFonts w:ascii="Arial" w:hAnsi="Arial" w:cs="Arial"/>
          <w:b/>
          <w:i/>
          <w:sz w:val="20"/>
          <w:szCs w:val="20"/>
        </w:rPr>
        <w:t xml:space="preserve"> ustanova, korisnika</w:t>
      </w:r>
      <w:r w:rsidRPr="0044293B">
        <w:rPr>
          <w:rFonts w:ascii="Arial" w:hAnsi="Arial" w:cs="Arial"/>
          <w:b/>
          <w:i/>
          <w:sz w:val="20"/>
          <w:szCs w:val="20"/>
        </w:rPr>
        <w:t xml:space="preserve"> Proračuna su ostvareni kako slijedi:   </w:t>
      </w:r>
    </w:p>
    <w:tbl>
      <w:tblPr>
        <w:tblW w:w="11720" w:type="dxa"/>
        <w:tblInd w:w="118" w:type="dxa"/>
        <w:tblLook w:val="04A0" w:firstRow="1" w:lastRow="0" w:firstColumn="1" w:lastColumn="0" w:noHBand="0" w:noVBand="1"/>
      </w:tblPr>
      <w:tblGrid>
        <w:gridCol w:w="2620"/>
        <w:gridCol w:w="1480"/>
        <w:gridCol w:w="1302"/>
        <w:gridCol w:w="1302"/>
        <w:gridCol w:w="1660"/>
        <w:gridCol w:w="1660"/>
        <w:gridCol w:w="1660"/>
        <w:gridCol w:w="222"/>
      </w:tblGrid>
      <w:tr w:rsidR="004A0571" w:rsidRPr="004A0571" w14:paraId="3BCF0685" w14:textId="77777777" w:rsidTr="004A0571">
        <w:trPr>
          <w:gridAfter w:val="1"/>
          <w:wAfter w:w="36" w:type="dxa"/>
          <w:trHeight w:val="464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F646B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337D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6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01B5A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VLASTITI  I OSTALI  PRIHODI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1679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IZ PRORAČUNA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0470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PRENESENI VIŠAK/MANJAK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066C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VIŠAK/MANJAK</w:t>
            </w:r>
          </w:p>
        </w:tc>
      </w:tr>
      <w:tr w:rsidR="004A0571" w:rsidRPr="004A0571" w14:paraId="2949C262" w14:textId="77777777" w:rsidTr="004A0571">
        <w:trPr>
          <w:trHeight w:val="315"/>
        </w:trPr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9F961" w14:textId="77777777" w:rsidR="004A0571" w:rsidRPr="004A0571" w:rsidRDefault="004A0571" w:rsidP="004A0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0C8A5" w14:textId="77777777" w:rsidR="004A0571" w:rsidRPr="004A0571" w:rsidRDefault="004A0571" w:rsidP="004A0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E2394" w14:textId="77777777" w:rsidR="004A0571" w:rsidRPr="004A0571" w:rsidRDefault="004A0571" w:rsidP="004A0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7C31A" w14:textId="77777777" w:rsidR="004A0571" w:rsidRPr="004A0571" w:rsidRDefault="004A0571" w:rsidP="004A0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48A38" w14:textId="77777777" w:rsidR="004A0571" w:rsidRPr="004A0571" w:rsidRDefault="004A0571" w:rsidP="004A0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77504" w14:textId="77777777" w:rsidR="004A0571" w:rsidRPr="004A0571" w:rsidRDefault="004A0571" w:rsidP="004A0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D8CB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4A0571" w:rsidRPr="004A0571" w14:paraId="52961558" w14:textId="77777777" w:rsidTr="004A0571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ECE4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69EA7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2C81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547C6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F5AE2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75C7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93FCB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36" w:type="dxa"/>
            <w:vAlign w:val="center"/>
            <w:hideMark/>
          </w:tcPr>
          <w:p w14:paraId="47C102D2" w14:textId="77777777" w:rsidR="004A0571" w:rsidRPr="004A0571" w:rsidRDefault="004A0571" w:rsidP="004A0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A0571" w:rsidRPr="004A0571" w14:paraId="4A5C1744" w14:textId="77777777" w:rsidTr="004A0571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DAFC0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C5056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1(2+3+4)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2C92F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CF707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D910C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25A77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70A7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63BFA64F" w14:textId="77777777" w:rsidR="004A0571" w:rsidRPr="004A0571" w:rsidRDefault="004A0571" w:rsidP="004A0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A0571" w:rsidRPr="004A0571" w14:paraId="66EF2304" w14:textId="77777777" w:rsidTr="004A0571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55B20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5C924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82.495,47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6736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42.493,00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4321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16.533,72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231E4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64.674,82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0B6B2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1.286,93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D8D59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8.171,45</w:t>
            </w:r>
          </w:p>
        </w:tc>
        <w:tc>
          <w:tcPr>
            <w:tcW w:w="36" w:type="dxa"/>
            <w:vAlign w:val="center"/>
            <w:hideMark/>
          </w:tcPr>
          <w:p w14:paraId="6C64827F" w14:textId="77777777" w:rsidR="004A0571" w:rsidRPr="004A0571" w:rsidRDefault="004A0571" w:rsidP="004A0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A0571" w:rsidRPr="004A0571" w14:paraId="4E31AB23" w14:textId="77777777" w:rsidTr="004A0571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F4B68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D7C1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80.170,27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DF470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41.940,00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720C3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18.118,67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0BBE5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61.790,00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51EFA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261,60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22E0B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6.072,00</w:t>
            </w:r>
          </w:p>
        </w:tc>
        <w:tc>
          <w:tcPr>
            <w:tcW w:w="36" w:type="dxa"/>
            <w:vAlign w:val="center"/>
            <w:hideMark/>
          </w:tcPr>
          <w:p w14:paraId="2DBD31F1" w14:textId="77777777" w:rsidR="004A0571" w:rsidRPr="004A0571" w:rsidRDefault="004A0571" w:rsidP="004A0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A0571" w:rsidRPr="004A0571" w14:paraId="413EFBE6" w14:textId="77777777" w:rsidTr="004A0571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F4D95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02E3C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337.344,50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A9D38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144.909,00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5CFC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68.588,15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22243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275.740,61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941B3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-6.984,26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564D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-14.415,96</w:t>
            </w:r>
          </w:p>
        </w:tc>
        <w:tc>
          <w:tcPr>
            <w:tcW w:w="36" w:type="dxa"/>
            <w:vAlign w:val="center"/>
            <w:hideMark/>
          </w:tcPr>
          <w:p w14:paraId="701DC5ED" w14:textId="77777777" w:rsidR="004A0571" w:rsidRPr="004A0571" w:rsidRDefault="004A0571" w:rsidP="004A0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A0571" w:rsidRPr="004A0571" w14:paraId="4DDE9C4E" w14:textId="77777777" w:rsidTr="004A0571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2887D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E666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85.758,08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995E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45.059,00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97B7A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11.979,95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2AB82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79.918,04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A748E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-6.139,91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30F8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-6.905,20</w:t>
            </w:r>
          </w:p>
        </w:tc>
        <w:tc>
          <w:tcPr>
            <w:tcW w:w="36" w:type="dxa"/>
            <w:vAlign w:val="center"/>
            <w:hideMark/>
          </w:tcPr>
          <w:p w14:paraId="62B17B93" w14:textId="77777777" w:rsidR="004A0571" w:rsidRPr="004A0571" w:rsidRDefault="004A0571" w:rsidP="004A0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A0571" w:rsidRPr="004A0571" w14:paraId="5464EEB4" w14:textId="77777777" w:rsidTr="004A0571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F375F" w14:textId="77777777" w:rsidR="004A0571" w:rsidRPr="004A0571" w:rsidRDefault="004A0571" w:rsidP="004A0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Ustanova Športski objekti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C2BF2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294.236,87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EED9C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33.850,00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358A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19.246,85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8CDFF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188.144,12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36177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86.845,90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EE40D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62.482,01</w:t>
            </w:r>
          </w:p>
        </w:tc>
        <w:tc>
          <w:tcPr>
            <w:tcW w:w="36" w:type="dxa"/>
            <w:vAlign w:val="center"/>
            <w:hideMark/>
          </w:tcPr>
          <w:p w14:paraId="421FAE0D" w14:textId="77777777" w:rsidR="004A0571" w:rsidRPr="004A0571" w:rsidRDefault="004A0571" w:rsidP="004A0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A0571" w:rsidRPr="004A0571" w14:paraId="569F6B01" w14:textId="77777777" w:rsidTr="004A0571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6242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442E9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880.005,19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C2AE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308.251,00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6579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134.467,34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D21D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670.267,59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A5F61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75.270,26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9D299" w14:textId="77777777" w:rsidR="004A0571" w:rsidRPr="004A0571" w:rsidRDefault="004A0571" w:rsidP="004A0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A05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55.410,30</w:t>
            </w:r>
          </w:p>
        </w:tc>
        <w:tc>
          <w:tcPr>
            <w:tcW w:w="36" w:type="dxa"/>
            <w:vAlign w:val="center"/>
            <w:hideMark/>
          </w:tcPr>
          <w:p w14:paraId="57A10090" w14:textId="77777777" w:rsidR="004A0571" w:rsidRPr="004A0571" w:rsidRDefault="004A0571" w:rsidP="004A0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43E22713" w14:textId="77777777" w:rsidR="009C1D94" w:rsidRPr="0044293B" w:rsidRDefault="009C1D94" w:rsidP="00636131">
      <w:pPr>
        <w:rPr>
          <w:rFonts w:ascii="Arial" w:hAnsi="Arial" w:cs="Arial"/>
          <w:b/>
          <w:i/>
          <w:sz w:val="20"/>
          <w:szCs w:val="20"/>
        </w:rPr>
      </w:pPr>
    </w:p>
    <w:p w14:paraId="0C182922" w14:textId="0930CC93" w:rsidR="00520CB9" w:rsidRDefault="004A0571" w:rsidP="00036AC9">
      <w:pPr>
        <w:rPr>
          <w:noProof/>
        </w:rPr>
      </w:pPr>
      <w:r>
        <w:rPr>
          <w:noProof/>
        </w:rPr>
        <w:drawing>
          <wp:inline distT="0" distB="0" distL="0" distR="0" wp14:anchorId="3024D95A" wp14:editId="3B6479DD">
            <wp:extent cx="5429250" cy="3581401"/>
            <wp:effectExtent l="0" t="0" r="0" b="0"/>
            <wp:docPr id="9929486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FE9C2C" w14:textId="64BEF05E" w:rsidR="00760997" w:rsidRPr="00520CB9" w:rsidRDefault="00760997" w:rsidP="00036AC9">
      <w:pPr>
        <w:rPr>
          <w:noProof/>
        </w:rPr>
      </w:pPr>
      <w:r w:rsidRPr="00D25992">
        <w:rPr>
          <w:rFonts w:ascii="Arial" w:hAnsi="Arial" w:cs="Arial"/>
          <w:b/>
          <w:i/>
          <w:sz w:val="20"/>
          <w:szCs w:val="20"/>
          <w:u w:val="single"/>
        </w:rPr>
        <w:lastRenderedPageBreak/>
        <w:t>O rashodima</w:t>
      </w:r>
      <w:r w:rsidRPr="00CE316F">
        <w:rPr>
          <w:rFonts w:ascii="Arial" w:hAnsi="Arial" w:cs="Arial"/>
          <w:b/>
          <w:i/>
          <w:sz w:val="20"/>
          <w:szCs w:val="20"/>
          <w:u w:val="single"/>
        </w:rPr>
        <w:t xml:space="preserve"> i izdacima</w:t>
      </w:r>
      <w:r w:rsidRPr="00CE316F">
        <w:rPr>
          <w:rFonts w:ascii="Arial" w:hAnsi="Arial" w:cs="Arial"/>
          <w:b/>
          <w:sz w:val="20"/>
          <w:szCs w:val="20"/>
          <w:u w:val="single"/>
        </w:rPr>
        <w:t>:</w:t>
      </w:r>
    </w:p>
    <w:p w14:paraId="4EBA3C3E" w14:textId="4EB4B264" w:rsidR="00760997" w:rsidRPr="00431171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sz w:val="18"/>
          <w:szCs w:val="18"/>
        </w:rPr>
        <w:t xml:space="preserve">Rashodi i izdaci su izvršeni u visini od </w:t>
      </w:r>
      <w:r w:rsidR="00C71BDF" w:rsidRPr="00431171">
        <w:rPr>
          <w:rFonts w:ascii="Arial" w:hAnsi="Arial" w:cs="Arial"/>
          <w:sz w:val="18"/>
          <w:szCs w:val="18"/>
        </w:rPr>
        <w:t>2.522.682,73</w:t>
      </w:r>
      <w:r w:rsidRPr="00431171">
        <w:rPr>
          <w:rFonts w:ascii="Arial" w:hAnsi="Arial" w:cs="Arial"/>
          <w:sz w:val="18"/>
          <w:szCs w:val="18"/>
        </w:rPr>
        <w:t xml:space="preserve"> ili </w:t>
      </w:r>
      <w:r w:rsidR="00BB1677" w:rsidRPr="00431171">
        <w:rPr>
          <w:rFonts w:ascii="Arial" w:hAnsi="Arial" w:cs="Arial"/>
          <w:sz w:val="18"/>
          <w:szCs w:val="18"/>
        </w:rPr>
        <w:t>3</w:t>
      </w:r>
      <w:r w:rsidR="00B95EC9" w:rsidRPr="00431171">
        <w:rPr>
          <w:rFonts w:ascii="Arial" w:hAnsi="Arial" w:cs="Arial"/>
          <w:sz w:val="18"/>
          <w:szCs w:val="18"/>
        </w:rPr>
        <w:t>0</w:t>
      </w:r>
      <w:r w:rsidRPr="00431171">
        <w:rPr>
          <w:rFonts w:ascii="Arial" w:hAnsi="Arial" w:cs="Arial"/>
          <w:sz w:val="18"/>
          <w:szCs w:val="18"/>
        </w:rPr>
        <w:t xml:space="preserve">% u odnosu na planirano a </w:t>
      </w:r>
      <w:r w:rsidR="00C71BDF" w:rsidRPr="00431171">
        <w:rPr>
          <w:rFonts w:ascii="Arial" w:hAnsi="Arial" w:cs="Arial"/>
          <w:sz w:val="18"/>
          <w:szCs w:val="18"/>
        </w:rPr>
        <w:t>17</w:t>
      </w:r>
      <w:r w:rsidRPr="00431171">
        <w:rPr>
          <w:rFonts w:ascii="Arial" w:hAnsi="Arial" w:cs="Arial"/>
          <w:sz w:val="18"/>
          <w:szCs w:val="18"/>
        </w:rPr>
        <w:t xml:space="preserve">% </w:t>
      </w:r>
      <w:r w:rsidR="00C71BDF" w:rsidRPr="00431171">
        <w:rPr>
          <w:rFonts w:ascii="Arial" w:hAnsi="Arial" w:cs="Arial"/>
          <w:sz w:val="18"/>
          <w:szCs w:val="18"/>
        </w:rPr>
        <w:t>manje</w:t>
      </w:r>
      <w:r w:rsidRPr="00431171">
        <w:rPr>
          <w:rFonts w:ascii="Arial" w:hAnsi="Arial" w:cs="Arial"/>
          <w:sz w:val="18"/>
          <w:szCs w:val="18"/>
        </w:rPr>
        <w:t xml:space="preserve"> nego u istom razdoblju prethodne godine. Od tog iznosa</w:t>
      </w:r>
      <w:r w:rsidR="00B95EC9" w:rsidRPr="00431171">
        <w:rPr>
          <w:rFonts w:ascii="Arial" w:hAnsi="Arial" w:cs="Arial"/>
          <w:sz w:val="18"/>
          <w:szCs w:val="18"/>
        </w:rPr>
        <w:t xml:space="preserve"> </w:t>
      </w:r>
      <w:r w:rsidR="00B95EC9" w:rsidRPr="00431171"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hr-HR"/>
        </w:rPr>
        <w:t>824.600,89</w:t>
      </w:r>
      <w:r w:rsidRPr="00431171">
        <w:rPr>
          <w:rFonts w:ascii="Arial" w:hAnsi="Arial" w:cs="Arial"/>
          <w:sz w:val="18"/>
          <w:szCs w:val="18"/>
        </w:rPr>
        <w:t xml:space="preserve">  su rashodi ustanova korisnika Proračuna.</w:t>
      </w:r>
      <w:r w:rsidR="00C71BDF" w:rsidRPr="00431171">
        <w:rPr>
          <w:rFonts w:ascii="Arial" w:eastAsia="Times New Roman" w:hAnsi="Arial" w:cs="Arial"/>
          <w:b/>
          <w:i/>
          <w:color w:val="000000" w:themeColor="text1"/>
          <w:sz w:val="16"/>
          <w:szCs w:val="16"/>
          <w:lang w:eastAsia="hr-HR"/>
        </w:rPr>
        <w:t xml:space="preserve"> </w:t>
      </w:r>
    </w:p>
    <w:p w14:paraId="59A604E4" w14:textId="23222DDD" w:rsidR="00760997" w:rsidRPr="00431171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  <w:u w:val="single"/>
        </w:rPr>
        <w:t>Rashodi poslovanja</w:t>
      </w:r>
      <w:r w:rsidRPr="00431171">
        <w:rPr>
          <w:rFonts w:ascii="Arial" w:hAnsi="Arial" w:cs="Arial"/>
          <w:b/>
          <w:sz w:val="18"/>
          <w:szCs w:val="18"/>
        </w:rPr>
        <w:t xml:space="preserve"> (razred 3</w:t>
      </w:r>
      <w:r w:rsidR="00842EFC" w:rsidRPr="00431171">
        <w:rPr>
          <w:rFonts w:ascii="Arial" w:hAnsi="Arial" w:cs="Arial"/>
          <w:sz w:val="18"/>
          <w:szCs w:val="18"/>
        </w:rPr>
        <w:t xml:space="preserve">) iznose </w:t>
      </w:r>
      <w:r w:rsidR="00B95EC9" w:rsidRPr="00431171">
        <w:rPr>
          <w:rFonts w:ascii="Arial" w:hAnsi="Arial" w:cs="Arial"/>
          <w:sz w:val="18"/>
          <w:szCs w:val="18"/>
        </w:rPr>
        <w:t>2.161.580,68</w:t>
      </w:r>
      <w:r w:rsidRPr="00431171">
        <w:rPr>
          <w:rFonts w:ascii="Arial" w:hAnsi="Arial" w:cs="Arial"/>
          <w:sz w:val="18"/>
          <w:szCs w:val="18"/>
        </w:rPr>
        <w:t xml:space="preserve"> ili </w:t>
      </w:r>
      <w:r w:rsidR="00DC4E34" w:rsidRPr="00431171">
        <w:rPr>
          <w:rFonts w:ascii="Arial" w:hAnsi="Arial" w:cs="Arial"/>
          <w:sz w:val="18"/>
          <w:szCs w:val="18"/>
        </w:rPr>
        <w:t>4</w:t>
      </w:r>
      <w:r w:rsidR="00B95EC9" w:rsidRPr="00431171">
        <w:rPr>
          <w:rFonts w:ascii="Arial" w:hAnsi="Arial" w:cs="Arial"/>
          <w:sz w:val="18"/>
          <w:szCs w:val="18"/>
        </w:rPr>
        <w:t>4</w:t>
      </w:r>
      <w:r w:rsidRPr="00431171">
        <w:rPr>
          <w:rFonts w:ascii="Arial" w:hAnsi="Arial" w:cs="Arial"/>
          <w:sz w:val="18"/>
          <w:szCs w:val="18"/>
        </w:rPr>
        <w:t>% od planiranog</w:t>
      </w:r>
      <w:r w:rsidR="000F4158" w:rsidRPr="00431171">
        <w:rPr>
          <w:rFonts w:ascii="Arial" w:hAnsi="Arial" w:cs="Arial"/>
          <w:sz w:val="18"/>
          <w:szCs w:val="18"/>
        </w:rPr>
        <w:t>,</w:t>
      </w:r>
      <w:r w:rsidRPr="00431171">
        <w:rPr>
          <w:rFonts w:ascii="Arial" w:hAnsi="Arial" w:cs="Arial"/>
          <w:sz w:val="18"/>
          <w:szCs w:val="18"/>
        </w:rPr>
        <w:t xml:space="preserve"> a </w:t>
      </w:r>
      <w:r w:rsidR="00B95EC9" w:rsidRPr="00431171">
        <w:rPr>
          <w:rFonts w:ascii="Arial" w:hAnsi="Arial" w:cs="Arial"/>
          <w:sz w:val="18"/>
          <w:szCs w:val="18"/>
        </w:rPr>
        <w:t>25</w:t>
      </w:r>
      <w:r w:rsidRPr="00431171">
        <w:rPr>
          <w:rFonts w:ascii="Arial" w:hAnsi="Arial" w:cs="Arial"/>
          <w:sz w:val="18"/>
          <w:szCs w:val="18"/>
        </w:rPr>
        <w:t xml:space="preserve">% </w:t>
      </w:r>
      <w:r w:rsidR="00DC4E34" w:rsidRPr="00431171">
        <w:rPr>
          <w:rFonts w:ascii="Arial" w:hAnsi="Arial" w:cs="Arial"/>
          <w:sz w:val="18"/>
          <w:szCs w:val="18"/>
        </w:rPr>
        <w:t>više</w:t>
      </w:r>
      <w:r w:rsidRPr="00431171">
        <w:rPr>
          <w:rFonts w:ascii="Arial" w:hAnsi="Arial" w:cs="Arial"/>
          <w:sz w:val="18"/>
          <w:szCs w:val="18"/>
        </w:rPr>
        <w:t xml:space="preserve"> nego u istom razdoblju prethodne godine. Od ovog iznosa </w:t>
      </w:r>
      <w:r w:rsidR="00771F4D" w:rsidRPr="00431171">
        <w:rPr>
          <w:rFonts w:ascii="Arial" w:hAnsi="Arial" w:cs="Arial"/>
          <w:sz w:val="18"/>
          <w:szCs w:val="18"/>
        </w:rPr>
        <w:t>767.086,27</w:t>
      </w:r>
      <w:r w:rsidR="00D15C85" w:rsidRPr="00431171">
        <w:rPr>
          <w:rFonts w:ascii="Arial" w:hAnsi="Arial" w:cs="Arial"/>
          <w:sz w:val="18"/>
          <w:szCs w:val="18"/>
        </w:rPr>
        <w:t xml:space="preserve"> odnosi se </w:t>
      </w:r>
      <w:r w:rsidRPr="00431171">
        <w:rPr>
          <w:rFonts w:ascii="Arial" w:hAnsi="Arial" w:cs="Arial"/>
          <w:sz w:val="18"/>
          <w:szCs w:val="18"/>
        </w:rPr>
        <w:t>na ustanove korisnike Proračuna.</w:t>
      </w:r>
    </w:p>
    <w:p w14:paraId="5F35AB86" w14:textId="00DAE5C6" w:rsidR="00C405BF" w:rsidRPr="00884312" w:rsidRDefault="00760997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  <w:u w:val="single"/>
        </w:rPr>
        <w:t>Rashodi za nabavu nefinancijske imovine</w:t>
      </w:r>
      <w:r w:rsidRPr="00431171">
        <w:rPr>
          <w:rFonts w:ascii="Arial" w:hAnsi="Arial" w:cs="Arial"/>
          <w:sz w:val="18"/>
          <w:szCs w:val="18"/>
          <w:u w:val="single"/>
        </w:rPr>
        <w:t xml:space="preserve"> </w:t>
      </w:r>
      <w:r w:rsidRPr="00431171">
        <w:rPr>
          <w:rFonts w:ascii="Arial" w:hAnsi="Arial" w:cs="Arial"/>
          <w:b/>
          <w:sz w:val="18"/>
          <w:szCs w:val="18"/>
          <w:u w:val="single"/>
        </w:rPr>
        <w:t>(razred 4)</w:t>
      </w:r>
      <w:r w:rsidRPr="00431171">
        <w:rPr>
          <w:rFonts w:ascii="Arial" w:hAnsi="Arial" w:cs="Arial"/>
          <w:sz w:val="18"/>
          <w:szCs w:val="18"/>
        </w:rPr>
        <w:t xml:space="preserve"> ostvareni su u iznosu od </w:t>
      </w:r>
      <w:r w:rsidR="00B62C58" w:rsidRPr="00431171">
        <w:rPr>
          <w:rFonts w:ascii="Arial" w:hAnsi="Arial" w:cs="Arial"/>
          <w:sz w:val="18"/>
          <w:szCs w:val="18"/>
        </w:rPr>
        <w:t xml:space="preserve">361.102,05 </w:t>
      </w:r>
      <w:r w:rsidRPr="00431171">
        <w:rPr>
          <w:rFonts w:ascii="Arial" w:hAnsi="Arial" w:cs="Arial"/>
          <w:sz w:val="18"/>
          <w:szCs w:val="18"/>
        </w:rPr>
        <w:t xml:space="preserve">ili </w:t>
      </w:r>
      <w:r w:rsidR="00B62C58" w:rsidRPr="00431171">
        <w:rPr>
          <w:rFonts w:ascii="Arial" w:hAnsi="Arial" w:cs="Arial"/>
          <w:sz w:val="18"/>
          <w:szCs w:val="18"/>
        </w:rPr>
        <w:t>10</w:t>
      </w:r>
      <w:r w:rsidR="003D634A" w:rsidRPr="00431171">
        <w:rPr>
          <w:rFonts w:ascii="Arial" w:hAnsi="Arial" w:cs="Arial"/>
          <w:sz w:val="18"/>
          <w:szCs w:val="18"/>
        </w:rPr>
        <w:t>%</w:t>
      </w:r>
      <w:r w:rsidRPr="00431171">
        <w:rPr>
          <w:rFonts w:ascii="Arial" w:hAnsi="Arial" w:cs="Arial"/>
          <w:sz w:val="18"/>
          <w:szCs w:val="18"/>
        </w:rPr>
        <w:t xml:space="preserve"> od plana a </w:t>
      </w:r>
      <w:r w:rsidR="00B62C58" w:rsidRPr="00431171">
        <w:rPr>
          <w:rFonts w:ascii="Arial" w:hAnsi="Arial" w:cs="Arial"/>
          <w:sz w:val="18"/>
          <w:szCs w:val="18"/>
        </w:rPr>
        <w:t>72</w:t>
      </w:r>
      <w:r w:rsidRPr="00431171">
        <w:rPr>
          <w:rFonts w:ascii="Arial" w:hAnsi="Arial" w:cs="Arial"/>
          <w:sz w:val="18"/>
          <w:szCs w:val="18"/>
        </w:rPr>
        <w:t xml:space="preserve">% </w:t>
      </w:r>
      <w:r w:rsidR="001B29BF" w:rsidRPr="00431171">
        <w:rPr>
          <w:rFonts w:ascii="Arial" w:hAnsi="Arial" w:cs="Arial"/>
          <w:sz w:val="18"/>
          <w:szCs w:val="18"/>
        </w:rPr>
        <w:t>manje</w:t>
      </w:r>
      <w:r w:rsidRPr="00431171">
        <w:rPr>
          <w:rFonts w:ascii="Arial" w:hAnsi="Arial" w:cs="Arial"/>
          <w:sz w:val="18"/>
          <w:szCs w:val="18"/>
        </w:rPr>
        <w:t xml:space="preserve"> nego u istom razdoblju prethodne godine</w:t>
      </w:r>
      <w:r w:rsidRPr="00884312">
        <w:rPr>
          <w:rFonts w:ascii="Arial" w:hAnsi="Arial" w:cs="Arial"/>
          <w:sz w:val="18"/>
          <w:szCs w:val="18"/>
        </w:rPr>
        <w:t>.</w:t>
      </w:r>
      <w:r w:rsidRPr="00884312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9E09105" w14:textId="3ECD25F3" w:rsidR="001B29BF" w:rsidRPr="00884312" w:rsidRDefault="00DF6253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Ovi rashodi se</w:t>
      </w:r>
      <w:r w:rsidR="00C405BF" w:rsidRPr="00884312">
        <w:rPr>
          <w:rFonts w:ascii="Arial" w:hAnsi="Arial" w:cs="Arial"/>
          <w:sz w:val="18"/>
          <w:szCs w:val="18"/>
        </w:rPr>
        <w:t xml:space="preserve"> </w:t>
      </w:r>
      <w:r w:rsidR="00760997" w:rsidRPr="00884312">
        <w:rPr>
          <w:rFonts w:ascii="Arial" w:hAnsi="Arial" w:cs="Arial"/>
          <w:sz w:val="18"/>
          <w:szCs w:val="18"/>
        </w:rPr>
        <w:t>odnose na</w:t>
      </w:r>
      <w:r w:rsidR="001B29BF" w:rsidRPr="00884312">
        <w:rPr>
          <w:rFonts w:ascii="Arial" w:hAnsi="Arial" w:cs="Arial"/>
          <w:sz w:val="18"/>
          <w:szCs w:val="18"/>
        </w:rPr>
        <w:t xml:space="preserve">: </w:t>
      </w:r>
    </w:p>
    <w:p w14:paraId="2457DA5C" w14:textId="43D6A5A8" w:rsidR="001B29BF" w:rsidRPr="00884312" w:rsidRDefault="00EA6865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0C210D">
        <w:rPr>
          <w:rFonts w:ascii="Arial" w:hAnsi="Arial" w:cs="Arial"/>
          <w:sz w:val="18"/>
          <w:szCs w:val="18"/>
        </w:rPr>
        <w:t>upnju građevinskog zemljišta 53.286,20</w:t>
      </w:r>
      <w:r w:rsidR="001B29BF" w:rsidRPr="00884312">
        <w:rPr>
          <w:rFonts w:ascii="Arial" w:hAnsi="Arial" w:cs="Arial"/>
          <w:sz w:val="18"/>
          <w:szCs w:val="18"/>
        </w:rPr>
        <w:t xml:space="preserve">, </w:t>
      </w:r>
    </w:p>
    <w:p w14:paraId="4CEB23A3" w14:textId="3A72AC6B" w:rsidR="001B29BF" w:rsidRPr="00884312" w:rsidRDefault="00EA6865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0C210D">
        <w:rPr>
          <w:rFonts w:ascii="Arial" w:hAnsi="Arial" w:cs="Arial"/>
          <w:sz w:val="18"/>
          <w:szCs w:val="18"/>
        </w:rPr>
        <w:t>ređenje kino-sale Liburna 6.200,69</w:t>
      </w:r>
      <w:r w:rsidR="001B29BF" w:rsidRPr="00884312">
        <w:rPr>
          <w:rFonts w:ascii="Arial" w:hAnsi="Arial" w:cs="Arial"/>
          <w:sz w:val="18"/>
          <w:szCs w:val="18"/>
        </w:rPr>
        <w:t xml:space="preserve">, </w:t>
      </w:r>
    </w:p>
    <w:p w14:paraId="62D17A10" w14:textId="1E3F2003" w:rsidR="001B29BF" w:rsidRPr="00884312" w:rsidRDefault="001B29B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 xml:space="preserve">radove na cesti GZ Lokva </w:t>
      </w:r>
      <w:r w:rsidR="000C210D">
        <w:rPr>
          <w:rFonts w:ascii="Arial" w:hAnsi="Arial" w:cs="Arial"/>
          <w:sz w:val="18"/>
          <w:szCs w:val="18"/>
        </w:rPr>
        <w:t>3.248,99</w:t>
      </w:r>
      <w:r w:rsidRPr="00884312">
        <w:rPr>
          <w:rFonts w:ascii="Arial" w:hAnsi="Arial" w:cs="Arial"/>
          <w:sz w:val="18"/>
          <w:szCs w:val="18"/>
        </w:rPr>
        <w:t>,</w:t>
      </w:r>
    </w:p>
    <w:p w14:paraId="14D6E840" w14:textId="68697BCE" w:rsidR="005A7C39" w:rsidRDefault="000C210D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radove na vodovodnoj mreži GZ Lokva 11.991,31</w:t>
      </w:r>
      <w:r w:rsidR="005A7C39" w:rsidRPr="00884312">
        <w:rPr>
          <w:rFonts w:ascii="Arial" w:hAnsi="Arial" w:cs="Arial"/>
          <w:sz w:val="18"/>
          <w:szCs w:val="18"/>
        </w:rPr>
        <w:t>,</w:t>
      </w:r>
    </w:p>
    <w:p w14:paraId="1A96BFE1" w14:textId="253B26FD" w:rsidR="000C210D" w:rsidRDefault="000C210D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obnovu kuće Marka Pola 4.097,84,</w:t>
      </w:r>
    </w:p>
    <w:p w14:paraId="4281CD29" w14:textId="467E6ECC" w:rsidR="000C210D" w:rsidRDefault="000C210D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obnovu Južnog zida 4.860,98,</w:t>
      </w:r>
    </w:p>
    <w:p w14:paraId="302803DF" w14:textId="170CC216" w:rsidR="000C210D" w:rsidRDefault="000C210D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javnu rasvjetu 11.086,08,</w:t>
      </w:r>
    </w:p>
    <w:p w14:paraId="02221FA4" w14:textId="02023066" w:rsidR="000C210D" w:rsidRDefault="000C210D" w:rsidP="000C21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884312">
        <w:rPr>
          <w:rFonts w:ascii="Arial" w:hAnsi="Arial" w:cs="Arial"/>
          <w:sz w:val="18"/>
          <w:szCs w:val="18"/>
        </w:rPr>
        <w:t xml:space="preserve">ačunalnu i uredsku opremu </w:t>
      </w:r>
      <w:r>
        <w:rPr>
          <w:rFonts w:ascii="Arial" w:hAnsi="Arial" w:cs="Arial"/>
          <w:sz w:val="18"/>
          <w:szCs w:val="18"/>
        </w:rPr>
        <w:t>1</w:t>
      </w:r>
      <w:r w:rsidR="007A3281">
        <w:rPr>
          <w:rFonts w:ascii="Arial" w:hAnsi="Arial" w:cs="Arial"/>
          <w:sz w:val="18"/>
          <w:szCs w:val="18"/>
        </w:rPr>
        <w:t>8.428,02</w:t>
      </w:r>
      <w:r w:rsidRPr="00884312">
        <w:rPr>
          <w:rFonts w:ascii="Arial" w:hAnsi="Arial" w:cs="Arial"/>
          <w:sz w:val="18"/>
          <w:szCs w:val="18"/>
        </w:rPr>
        <w:t>,</w:t>
      </w:r>
    </w:p>
    <w:p w14:paraId="15BD9849" w14:textId="20BF12C1" w:rsidR="000C210D" w:rsidRPr="00884312" w:rsidRDefault="000C210D" w:rsidP="000C21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884312">
        <w:rPr>
          <w:rFonts w:ascii="Arial" w:hAnsi="Arial" w:cs="Arial"/>
          <w:sz w:val="18"/>
          <w:szCs w:val="18"/>
        </w:rPr>
        <w:t xml:space="preserve">omunalnu opremu </w:t>
      </w:r>
      <w:r w:rsidR="007A3281">
        <w:rPr>
          <w:rFonts w:ascii="Arial" w:hAnsi="Arial" w:cs="Arial"/>
          <w:sz w:val="18"/>
          <w:szCs w:val="18"/>
        </w:rPr>
        <w:t>12.316,68,</w:t>
      </w:r>
    </w:p>
    <w:p w14:paraId="5509FA42" w14:textId="1F511CA1" w:rsidR="007A3281" w:rsidRPr="00884312" w:rsidRDefault="00EA6865" w:rsidP="007A328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7A3281" w:rsidRPr="00884312">
        <w:rPr>
          <w:rFonts w:ascii="Arial" w:hAnsi="Arial" w:cs="Arial"/>
          <w:sz w:val="18"/>
          <w:szCs w:val="18"/>
        </w:rPr>
        <w:t xml:space="preserve">njige u knjižnici </w:t>
      </w:r>
      <w:r w:rsidR="007A3281">
        <w:rPr>
          <w:rFonts w:ascii="Arial" w:hAnsi="Arial" w:cs="Arial"/>
          <w:sz w:val="18"/>
          <w:szCs w:val="18"/>
        </w:rPr>
        <w:t>7.213,02</w:t>
      </w:r>
      <w:r w:rsidR="007A3281" w:rsidRPr="00884312">
        <w:rPr>
          <w:rFonts w:ascii="Arial" w:hAnsi="Arial" w:cs="Arial"/>
          <w:sz w:val="18"/>
          <w:szCs w:val="18"/>
        </w:rPr>
        <w:t>,</w:t>
      </w:r>
    </w:p>
    <w:p w14:paraId="4323354A" w14:textId="4B5F16FB" w:rsidR="007A3281" w:rsidRPr="00884312" w:rsidRDefault="00EA6865" w:rsidP="007A328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7A3281" w:rsidRPr="00884312">
        <w:rPr>
          <w:rFonts w:ascii="Arial" w:hAnsi="Arial" w:cs="Arial"/>
          <w:sz w:val="18"/>
          <w:szCs w:val="18"/>
        </w:rPr>
        <w:t xml:space="preserve">uzejske izloške </w:t>
      </w:r>
      <w:r w:rsidR="007A3281">
        <w:rPr>
          <w:rFonts w:ascii="Arial" w:hAnsi="Arial" w:cs="Arial"/>
          <w:sz w:val="18"/>
          <w:szCs w:val="18"/>
        </w:rPr>
        <w:t>1.153,09</w:t>
      </w:r>
      <w:r w:rsidR="007A3281" w:rsidRPr="00884312">
        <w:rPr>
          <w:rFonts w:ascii="Arial" w:hAnsi="Arial" w:cs="Arial"/>
          <w:sz w:val="18"/>
          <w:szCs w:val="18"/>
        </w:rPr>
        <w:t>,</w:t>
      </w:r>
    </w:p>
    <w:p w14:paraId="17275BFD" w14:textId="432F9BC2" w:rsidR="007F5459" w:rsidRPr="007A3281" w:rsidRDefault="007F5459" w:rsidP="007A328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A3281">
        <w:rPr>
          <w:rFonts w:ascii="Arial" w:hAnsi="Arial" w:cs="Arial"/>
          <w:sz w:val="18"/>
          <w:szCs w:val="18"/>
        </w:rPr>
        <w:t xml:space="preserve">razna dokumentacija za ceste, parkove, </w:t>
      </w:r>
      <w:r w:rsidR="007A3281">
        <w:rPr>
          <w:rFonts w:ascii="Arial" w:hAnsi="Arial" w:cs="Arial"/>
          <w:sz w:val="18"/>
          <w:szCs w:val="18"/>
        </w:rPr>
        <w:t xml:space="preserve">gospodarenje otpadom, </w:t>
      </w:r>
      <w:r w:rsidRPr="007A3281">
        <w:rPr>
          <w:rFonts w:ascii="Arial" w:hAnsi="Arial" w:cs="Arial"/>
          <w:sz w:val="18"/>
          <w:szCs w:val="18"/>
        </w:rPr>
        <w:t>javne površine, parkirališta, poslovne prostore, sportske objekte</w:t>
      </w:r>
      <w:r w:rsidR="00FE2A76" w:rsidRPr="007A3281">
        <w:rPr>
          <w:rFonts w:ascii="Arial" w:hAnsi="Arial" w:cs="Arial"/>
          <w:sz w:val="18"/>
          <w:szCs w:val="18"/>
        </w:rPr>
        <w:t xml:space="preserve"> </w:t>
      </w:r>
      <w:r w:rsidR="00A52E08">
        <w:rPr>
          <w:rFonts w:ascii="Arial" w:hAnsi="Arial" w:cs="Arial"/>
          <w:sz w:val="18"/>
          <w:szCs w:val="18"/>
        </w:rPr>
        <w:t>80.928,05</w:t>
      </w:r>
      <w:r w:rsidRPr="007A3281">
        <w:rPr>
          <w:rFonts w:ascii="Arial" w:hAnsi="Arial" w:cs="Arial"/>
          <w:sz w:val="18"/>
          <w:szCs w:val="18"/>
        </w:rPr>
        <w:t>,</w:t>
      </w:r>
    </w:p>
    <w:p w14:paraId="2E9BAC65" w14:textId="0C313BCD" w:rsidR="001B29BF" w:rsidRPr="00884312" w:rsidRDefault="007A3281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dodatna ulaganja na Marmonovom putu 123.387,91</w:t>
      </w:r>
      <w:r w:rsidR="00B46011">
        <w:rPr>
          <w:rFonts w:ascii="Arial" w:hAnsi="Arial" w:cs="Arial"/>
          <w:sz w:val="18"/>
          <w:szCs w:val="18"/>
        </w:rPr>
        <w:t xml:space="preserve"> i</w:t>
      </w:r>
    </w:p>
    <w:p w14:paraId="43F6FF08" w14:textId="5A96DEE4" w:rsidR="007F5459" w:rsidRPr="00884312" w:rsidRDefault="007A3281" w:rsidP="007F545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sanaciju rive Račišće 22.903,19</w:t>
      </w:r>
      <w:r w:rsidR="00B46011">
        <w:rPr>
          <w:rFonts w:ascii="Arial" w:hAnsi="Arial" w:cs="Arial"/>
          <w:sz w:val="18"/>
          <w:szCs w:val="18"/>
        </w:rPr>
        <w:t>.</w:t>
      </w:r>
    </w:p>
    <w:p w14:paraId="695344EF" w14:textId="17D1F5B9" w:rsidR="00760997" w:rsidRPr="00431171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sz w:val="18"/>
          <w:szCs w:val="18"/>
        </w:rPr>
        <w:t>Na ustanove korisnike Proračuna</w:t>
      </w:r>
      <w:r w:rsidR="00F966B1" w:rsidRPr="00431171">
        <w:rPr>
          <w:rFonts w:ascii="Arial" w:hAnsi="Arial" w:cs="Arial"/>
          <w:sz w:val="18"/>
          <w:szCs w:val="18"/>
        </w:rPr>
        <w:t>, u ovom razredu rashoda,</w:t>
      </w:r>
      <w:r w:rsidRPr="00431171">
        <w:rPr>
          <w:rFonts w:ascii="Arial" w:hAnsi="Arial" w:cs="Arial"/>
          <w:sz w:val="18"/>
          <w:szCs w:val="18"/>
        </w:rPr>
        <w:t xml:space="preserve"> odnosi se </w:t>
      </w:r>
      <w:r w:rsidR="00A52E08" w:rsidRPr="00431171">
        <w:rPr>
          <w:rFonts w:ascii="Arial" w:hAnsi="Arial" w:cs="Arial"/>
          <w:sz w:val="18"/>
          <w:szCs w:val="18"/>
        </w:rPr>
        <w:t>56.595,15</w:t>
      </w:r>
      <w:r w:rsidR="00DE0C2F" w:rsidRPr="00431171">
        <w:rPr>
          <w:rFonts w:ascii="Arial" w:hAnsi="Arial" w:cs="Arial"/>
          <w:sz w:val="18"/>
          <w:szCs w:val="18"/>
        </w:rPr>
        <w:t xml:space="preserve">. </w:t>
      </w:r>
    </w:p>
    <w:p w14:paraId="1A9D5A9D" w14:textId="38504A3E" w:rsidR="00884312" w:rsidRDefault="00760997" w:rsidP="000F415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31171">
        <w:rPr>
          <w:rFonts w:ascii="Arial" w:hAnsi="Arial" w:cs="Arial"/>
          <w:b/>
          <w:sz w:val="18"/>
          <w:szCs w:val="18"/>
          <w:u w:val="single"/>
        </w:rPr>
        <w:t>Izdaci za financijsku imovinu i otplate zajmova</w:t>
      </w:r>
      <w:r w:rsidRPr="00431171">
        <w:rPr>
          <w:rFonts w:ascii="Arial" w:hAnsi="Arial" w:cs="Arial"/>
          <w:b/>
          <w:sz w:val="18"/>
          <w:szCs w:val="18"/>
        </w:rPr>
        <w:t xml:space="preserve"> (razred 5)</w:t>
      </w:r>
      <w:r w:rsidRPr="00431171">
        <w:rPr>
          <w:rFonts w:ascii="Arial" w:hAnsi="Arial" w:cs="Arial"/>
          <w:sz w:val="18"/>
          <w:szCs w:val="18"/>
        </w:rPr>
        <w:t xml:space="preserve"> iznose </w:t>
      </w:r>
      <w:r w:rsidR="00AA104C" w:rsidRPr="00431171">
        <w:rPr>
          <w:rFonts w:ascii="Arial" w:hAnsi="Arial" w:cs="Arial"/>
          <w:sz w:val="18"/>
          <w:szCs w:val="18"/>
        </w:rPr>
        <w:t>32.338,62</w:t>
      </w:r>
      <w:r w:rsidRPr="00431171">
        <w:rPr>
          <w:rFonts w:ascii="Arial" w:hAnsi="Arial" w:cs="Arial"/>
          <w:sz w:val="18"/>
          <w:szCs w:val="18"/>
        </w:rPr>
        <w:t xml:space="preserve"> ili </w:t>
      </w:r>
      <w:r w:rsidR="00AA104C" w:rsidRPr="00431171">
        <w:rPr>
          <w:rFonts w:ascii="Arial" w:hAnsi="Arial" w:cs="Arial"/>
          <w:sz w:val="18"/>
          <w:szCs w:val="18"/>
        </w:rPr>
        <w:t>18</w:t>
      </w:r>
      <w:r w:rsidRPr="00431171">
        <w:rPr>
          <w:rFonts w:ascii="Arial" w:hAnsi="Arial" w:cs="Arial"/>
          <w:sz w:val="18"/>
          <w:szCs w:val="18"/>
        </w:rPr>
        <w:t>% od planiranog godišnjeg iznosa</w:t>
      </w:r>
      <w:r w:rsidR="00AA104C" w:rsidRPr="00431171">
        <w:rPr>
          <w:rFonts w:ascii="Arial" w:hAnsi="Arial" w:cs="Arial"/>
          <w:sz w:val="18"/>
          <w:szCs w:val="18"/>
        </w:rPr>
        <w:t xml:space="preserve"> a 96% manje nego u istom razdoblju prethodne</w:t>
      </w:r>
      <w:r w:rsidR="00AA104C">
        <w:rPr>
          <w:rFonts w:ascii="Arial" w:hAnsi="Arial" w:cs="Arial"/>
          <w:sz w:val="18"/>
          <w:szCs w:val="18"/>
        </w:rPr>
        <w:t xml:space="preserve"> godine.</w:t>
      </w:r>
      <w:r w:rsidR="000F4158" w:rsidRPr="00884312">
        <w:rPr>
          <w:rFonts w:ascii="Arial" w:hAnsi="Arial" w:cs="Arial"/>
          <w:sz w:val="18"/>
          <w:szCs w:val="18"/>
        </w:rPr>
        <w:t xml:space="preserve"> O</w:t>
      </w:r>
      <w:r w:rsidRPr="00884312">
        <w:rPr>
          <w:rFonts w:ascii="Arial" w:hAnsi="Arial" w:cs="Arial"/>
          <w:sz w:val="18"/>
          <w:szCs w:val="18"/>
        </w:rPr>
        <w:t>dnose se na otplatu</w:t>
      </w:r>
      <w:r w:rsidR="00AA104C">
        <w:rPr>
          <w:rFonts w:ascii="Arial" w:hAnsi="Arial" w:cs="Arial"/>
          <w:sz w:val="18"/>
          <w:szCs w:val="18"/>
        </w:rPr>
        <w:t xml:space="preserve"> </w:t>
      </w:r>
      <w:r w:rsidR="000F4158" w:rsidRPr="00884312">
        <w:rPr>
          <w:rFonts w:ascii="Arial" w:hAnsi="Arial" w:cs="Arial"/>
          <w:sz w:val="18"/>
          <w:szCs w:val="18"/>
        </w:rPr>
        <w:t>dugoročnog kredita</w:t>
      </w:r>
      <w:r w:rsidR="000F4158" w:rsidRPr="000F4158">
        <w:rPr>
          <w:rFonts w:ascii="Arial" w:hAnsi="Arial" w:cs="Arial"/>
          <w:sz w:val="18"/>
          <w:szCs w:val="18"/>
        </w:rPr>
        <w:t xml:space="preserve"> HBOR-a za Projekte Grada. </w:t>
      </w:r>
    </w:p>
    <w:p w14:paraId="3A886CFA" w14:textId="54993566" w:rsidR="00760997" w:rsidRPr="0044293B" w:rsidRDefault="00760997" w:rsidP="00760997">
      <w:pPr>
        <w:jc w:val="both"/>
        <w:rPr>
          <w:rFonts w:ascii="Arial" w:hAnsi="Arial" w:cs="Arial"/>
          <w:sz w:val="18"/>
          <w:szCs w:val="18"/>
        </w:rPr>
      </w:pPr>
    </w:p>
    <w:p w14:paraId="6816275C" w14:textId="609856D2" w:rsidR="00145819" w:rsidRDefault="00145819" w:rsidP="00760997">
      <w:pPr>
        <w:jc w:val="both"/>
        <w:rPr>
          <w:rFonts w:ascii="Arial" w:hAnsi="Arial" w:cs="Arial"/>
          <w:sz w:val="18"/>
          <w:szCs w:val="18"/>
        </w:rPr>
      </w:pPr>
    </w:p>
    <w:p w14:paraId="65F553C2" w14:textId="717B19FD" w:rsidR="00774081" w:rsidRDefault="00774081" w:rsidP="00760997">
      <w:pPr>
        <w:jc w:val="both"/>
        <w:rPr>
          <w:rFonts w:ascii="Arial" w:hAnsi="Arial" w:cs="Arial"/>
          <w:sz w:val="16"/>
          <w:szCs w:val="16"/>
        </w:rPr>
      </w:pPr>
    </w:p>
    <w:p w14:paraId="1AA0F30D" w14:textId="0D16424E" w:rsidR="008413C9" w:rsidRDefault="008413C9" w:rsidP="00760997">
      <w:pPr>
        <w:jc w:val="both"/>
        <w:rPr>
          <w:rFonts w:ascii="Arial" w:hAnsi="Arial" w:cs="Arial"/>
          <w:sz w:val="16"/>
          <w:szCs w:val="16"/>
        </w:rPr>
      </w:pPr>
    </w:p>
    <w:p w14:paraId="29FA6E5F" w14:textId="076909A8" w:rsidR="008413C9" w:rsidRDefault="008413C9" w:rsidP="00760997">
      <w:pPr>
        <w:jc w:val="both"/>
        <w:rPr>
          <w:rFonts w:ascii="Arial" w:hAnsi="Arial" w:cs="Arial"/>
          <w:sz w:val="16"/>
          <w:szCs w:val="16"/>
        </w:rPr>
      </w:pPr>
    </w:p>
    <w:p w14:paraId="63A42F05" w14:textId="2CACCD7A" w:rsidR="008413C9" w:rsidRDefault="008413C9" w:rsidP="00760997">
      <w:pPr>
        <w:jc w:val="both"/>
        <w:rPr>
          <w:rFonts w:ascii="Arial" w:hAnsi="Arial" w:cs="Arial"/>
          <w:sz w:val="16"/>
          <w:szCs w:val="16"/>
        </w:rPr>
      </w:pPr>
    </w:p>
    <w:p w14:paraId="7C53820E" w14:textId="2AB150E4" w:rsidR="008413C9" w:rsidRDefault="008413C9" w:rsidP="00760997">
      <w:pPr>
        <w:jc w:val="both"/>
        <w:rPr>
          <w:rFonts w:ascii="Arial" w:hAnsi="Arial" w:cs="Arial"/>
          <w:sz w:val="16"/>
          <w:szCs w:val="16"/>
        </w:rPr>
      </w:pPr>
    </w:p>
    <w:p w14:paraId="6F7913C4" w14:textId="7C69778C" w:rsidR="008413C9" w:rsidRDefault="008413C9" w:rsidP="00760997">
      <w:pPr>
        <w:jc w:val="both"/>
        <w:rPr>
          <w:rFonts w:ascii="Arial" w:hAnsi="Arial" w:cs="Arial"/>
          <w:sz w:val="16"/>
          <w:szCs w:val="16"/>
        </w:rPr>
      </w:pPr>
    </w:p>
    <w:p w14:paraId="444F6EA7" w14:textId="77777777" w:rsidR="005F13D1" w:rsidRDefault="005F13D1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6ECA5580" w14:textId="77777777" w:rsidR="005F13D1" w:rsidRDefault="005F13D1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041F4B97" w14:textId="54C51683" w:rsidR="005F13D1" w:rsidRDefault="00EA6865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7FD7C47" wp14:editId="6F8E2669">
            <wp:extent cx="5029200" cy="3019424"/>
            <wp:effectExtent l="0" t="0" r="0" b="0"/>
            <wp:docPr id="6310021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1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4EFEEC" w14:textId="77777777" w:rsidR="005F13D1" w:rsidRDefault="005F13D1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37EE28BF" w14:textId="2E7D3027" w:rsidR="00520CB9" w:rsidRPr="00D27E6C" w:rsidRDefault="00520CB9" w:rsidP="00520CB9">
      <w:pPr>
        <w:jc w:val="both"/>
        <w:rPr>
          <w:rFonts w:ascii="Arial" w:hAnsi="Arial" w:cs="Arial"/>
          <w:sz w:val="16"/>
          <w:szCs w:val="16"/>
        </w:rPr>
      </w:pPr>
      <w:r w:rsidRPr="00431171">
        <w:rPr>
          <w:rFonts w:ascii="Arial" w:hAnsi="Arial" w:cs="Arial"/>
          <w:sz w:val="18"/>
          <w:szCs w:val="18"/>
        </w:rPr>
        <w:t>Ako usporedimo</w:t>
      </w:r>
      <w:r w:rsidRPr="00884312">
        <w:rPr>
          <w:rFonts w:ascii="Arial" w:hAnsi="Arial" w:cs="Arial"/>
          <w:sz w:val="18"/>
          <w:szCs w:val="18"/>
        </w:rPr>
        <w:t xml:space="preserve"> raspoložive</w:t>
      </w:r>
      <w:r w:rsidRPr="0082669D">
        <w:rPr>
          <w:rFonts w:ascii="Arial" w:hAnsi="Arial" w:cs="Arial"/>
          <w:sz w:val="18"/>
          <w:szCs w:val="18"/>
        </w:rPr>
        <w:t xml:space="preserve"> tekuće prihode s izvršenim rashodima u izvještajnom razdoblju, vidimo da su ostvareni prihodi za </w:t>
      </w:r>
      <w:r w:rsidR="00EA6865">
        <w:rPr>
          <w:rFonts w:ascii="Arial" w:hAnsi="Arial" w:cs="Arial"/>
          <w:sz w:val="18"/>
          <w:szCs w:val="18"/>
        </w:rPr>
        <w:t>401.577,19</w:t>
      </w:r>
      <w:r w:rsidRPr="0082669D">
        <w:rPr>
          <w:rFonts w:ascii="Arial" w:hAnsi="Arial" w:cs="Arial"/>
          <w:sz w:val="18"/>
          <w:szCs w:val="18"/>
        </w:rPr>
        <w:t xml:space="preserve"> manji od rashoda, dok su i</w:t>
      </w:r>
      <w:r w:rsidR="0082669D" w:rsidRPr="0082669D">
        <w:rPr>
          <w:rFonts w:ascii="Arial" w:hAnsi="Arial" w:cs="Arial"/>
          <w:sz w:val="18"/>
          <w:szCs w:val="18"/>
        </w:rPr>
        <w:t>zdaci</w:t>
      </w:r>
      <w:r w:rsidRPr="0082669D">
        <w:rPr>
          <w:rFonts w:ascii="Arial" w:hAnsi="Arial" w:cs="Arial"/>
          <w:sz w:val="18"/>
          <w:szCs w:val="18"/>
        </w:rPr>
        <w:t xml:space="preserve"> veći za </w:t>
      </w:r>
      <w:r w:rsidR="00EA6865">
        <w:rPr>
          <w:rFonts w:ascii="Arial" w:hAnsi="Arial" w:cs="Arial"/>
          <w:sz w:val="18"/>
          <w:szCs w:val="18"/>
        </w:rPr>
        <w:t>32.338,62</w:t>
      </w:r>
      <w:r>
        <w:rPr>
          <w:rFonts w:ascii="Arial" w:hAnsi="Arial" w:cs="Arial"/>
          <w:sz w:val="18"/>
          <w:szCs w:val="18"/>
        </w:rPr>
        <w:t xml:space="preserve"> od </w:t>
      </w:r>
      <w:r w:rsidR="0082669D">
        <w:rPr>
          <w:rFonts w:ascii="Arial" w:hAnsi="Arial" w:cs="Arial"/>
          <w:sz w:val="18"/>
          <w:szCs w:val="18"/>
        </w:rPr>
        <w:t>ostvarenih</w:t>
      </w:r>
      <w:r>
        <w:rPr>
          <w:rFonts w:ascii="Arial" w:hAnsi="Arial" w:cs="Arial"/>
          <w:sz w:val="18"/>
          <w:szCs w:val="18"/>
        </w:rPr>
        <w:t xml:space="preserve"> </w:t>
      </w:r>
      <w:r w:rsidR="0082669D">
        <w:rPr>
          <w:rFonts w:ascii="Arial" w:hAnsi="Arial" w:cs="Arial"/>
          <w:sz w:val="18"/>
          <w:szCs w:val="18"/>
        </w:rPr>
        <w:t>primitaka</w:t>
      </w:r>
      <w:r w:rsidRPr="00F45D3A">
        <w:rPr>
          <w:rFonts w:ascii="Arial" w:hAnsi="Arial" w:cs="Arial"/>
          <w:sz w:val="18"/>
          <w:szCs w:val="18"/>
        </w:rPr>
        <w:t>.</w:t>
      </w:r>
    </w:p>
    <w:p w14:paraId="14780C12" w14:textId="49E30AC4" w:rsidR="002E3B4D" w:rsidRDefault="00520CB9" w:rsidP="00520CB9">
      <w:pPr>
        <w:jc w:val="both"/>
        <w:rPr>
          <w:rFonts w:ascii="Arial" w:hAnsi="Arial" w:cs="Arial"/>
          <w:sz w:val="18"/>
          <w:szCs w:val="18"/>
        </w:rPr>
      </w:pPr>
      <w:r w:rsidRPr="00F45D3A">
        <w:rPr>
          <w:rFonts w:ascii="Arial" w:hAnsi="Arial" w:cs="Arial"/>
          <w:sz w:val="18"/>
          <w:szCs w:val="18"/>
        </w:rPr>
        <w:t xml:space="preserve">Raspoloživa sredstva iz prethodnih godina predstavljaju ukupni </w:t>
      </w:r>
      <w:r>
        <w:rPr>
          <w:rFonts w:ascii="Arial" w:hAnsi="Arial" w:cs="Arial"/>
          <w:sz w:val="18"/>
          <w:szCs w:val="18"/>
        </w:rPr>
        <w:t>manjak</w:t>
      </w:r>
      <w:r w:rsidRPr="00D74934">
        <w:rPr>
          <w:rFonts w:ascii="Arial" w:hAnsi="Arial" w:cs="Arial"/>
          <w:sz w:val="18"/>
          <w:szCs w:val="18"/>
        </w:rPr>
        <w:t xml:space="preserve"> od</w:t>
      </w:r>
      <w:r>
        <w:rPr>
          <w:rFonts w:ascii="Arial" w:hAnsi="Arial" w:cs="Arial"/>
          <w:sz w:val="18"/>
          <w:szCs w:val="18"/>
        </w:rPr>
        <w:t xml:space="preserve"> </w:t>
      </w:r>
      <w:r w:rsidR="00EA6865">
        <w:rPr>
          <w:rFonts w:ascii="Arial" w:hAnsi="Arial" w:cs="Arial"/>
          <w:sz w:val="18"/>
          <w:szCs w:val="18"/>
        </w:rPr>
        <w:t>286.004,70</w:t>
      </w:r>
      <w:r w:rsidRPr="00F45D3A">
        <w:rPr>
          <w:rFonts w:ascii="Arial" w:hAnsi="Arial" w:cs="Arial"/>
          <w:sz w:val="18"/>
          <w:szCs w:val="18"/>
        </w:rPr>
        <w:t xml:space="preserve"> što je rezultat početnog </w:t>
      </w:r>
      <w:r>
        <w:rPr>
          <w:rFonts w:ascii="Arial" w:hAnsi="Arial" w:cs="Arial"/>
          <w:sz w:val="18"/>
          <w:szCs w:val="18"/>
        </w:rPr>
        <w:t>manjka</w:t>
      </w:r>
      <w:r w:rsidRPr="00F45D3A">
        <w:rPr>
          <w:rFonts w:ascii="Arial" w:hAnsi="Arial" w:cs="Arial"/>
          <w:sz w:val="18"/>
          <w:szCs w:val="18"/>
        </w:rPr>
        <w:t xml:space="preserve"> Grada od </w:t>
      </w:r>
      <w:r w:rsidR="00EA6865">
        <w:rPr>
          <w:rFonts w:ascii="Arial" w:hAnsi="Arial" w:cs="Arial"/>
          <w:sz w:val="18"/>
          <w:szCs w:val="18"/>
        </w:rPr>
        <w:t>361.274,96</w:t>
      </w:r>
      <w:r w:rsidRPr="00F45D3A">
        <w:rPr>
          <w:rFonts w:ascii="Arial" w:hAnsi="Arial" w:cs="Arial"/>
          <w:sz w:val="18"/>
          <w:szCs w:val="18"/>
        </w:rPr>
        <w:t xml:space="preserve"> i ukupnog viška kod ustanova korisnika Proračuna od </w:t>
      </w:r>
      <w:r w:rsidR="00EA6865" w:rsidRPr="004A0571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75.270,26</w:t>
      </w:r>
      <w:r w:rsidRPr="00F45D3A">
        <w:rPr>
          <w:rFonts w:ascii="Arial" w:hAnsi="Arial" w:cs="Arial"/>
          <w:sz w:val="18"/>
          <w:szCs w:val="18"/>
        </w:rPr>
        <w:t xml:space="preserve">. </w:t>
      </w:r>
    </w:p>
    <w:p w14:paraId="469DEB6C" w14:textId="70566A51" w:rsidR="00520CB9" w:rsidRPr="000B4F50" w:rsidRDefault="00520CB9" w:rsidP="00520CB9">
      <w:pPr>
        <w:jc w:val="both"/>
        <w:rPr>
          <w:rFonts w:ascii="Arial" w:hAnsi="Arial" w:cs="Arial"/>
          <w:sz w:val="18"/>
          <w:szCs w:val="18"/>
        </w:rPr>
      </w:pPr>
      <w:r w:rsidRPr="00F45D3A">
        <w:rPr>
          <w:rFonts w:ascii="Arial" w:hAnsi="Arial" w:cs="Arial"/>
          <w:sz w:val="18"/>
          <w:szCs w:val="18"/>
        </w:rPr>
        <w:t>Ukoliko uračunamo ostvareni manjak prihoda i primitaka iz prvog polugodišta, u ovom izvještajnom razdoblju</w:t>
      </w:r>
      <w:r w:rsidRPr="000B4F50">
        <w:rPr>
          <w:rFonts w:ascii="Arial" w:hAnsi="Arial" w:cs="Arial"/>
          <w:sz w:val="18"/>
          <w:szCs w:val="18"/>
        </w:rPr>
        <w:t xml:space="preserve"> imamo rezultat od </w:t>
      </w:r>
      <w:r w:rsidR="00EA6865">
        <w:rPr>
          <w:rFonts w:ascii="Arial" w:hAnsi="Arial" w:cs="Arial"/>
          <w:sz w:val="18"/>
          <w:szCs w:val="18"/>
        </w:rPr>
        <w:t>719.920,51</w:t>
      </w:r>
      <w:r>
        <w:rPr>
          <w:rFonts w:ascii="Arial" w:hAnsi="Arial" w:cs="Arial"/>
          <w:sz w:val="18"/>
          <w:szCs w:val="18"/>
        </w:rPr>
        <w:t xml:space="preserve"> manjka</w:t>
      </w:r>
      <w:r w:rsidR="0082669D">
        <w:rPr>
          <w:rFonts w:ascii="Arial" w:hAnsi="Arial" w:cs="Arial"/>
          <w:sz w:val="18"/>
          <w:szCs w:val="18"/>
        </w:rPr>
        <w:t xml:space="preserve"> prihoda nad rashodima.</w:t>
      </w:r>
    </w:p>
    <w:p w14:paraId="335D6561" w14:textId="77777777" w:rsidR="00520CB9" w:rsidRDefault="00520CB9" w:rsidP="00520CB9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8381702" w14:textId="2106F73B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34766BB" w14:textId="053CD4AD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09B7A1EE" w14:textId="64CBD9F6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7B759C8A" w14:textId="6A0342BB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1F704B0A" w14:textId="77777777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711030A4" w14:textId="77777777" w:rsidR="00EA6865" w:rsidRDefault="00EA6865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132DD3D3" w14:textId="77777777" w:rsidR="00EA6865" w:rsidRDefault="00EA6865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8953F72" w14:textId="42E14C47" w:rsidR="0083767D" w:rsidRPr="00C50FB8" w:rsidRDefault="0083767D" w:rsidP="00C405BF">
      <w:pPr>
        <w:jc w:val="both"/>
        <w:rPr>
          <w:rFonts w:ascii="Arial" w:hAnsi="Arial" w:cs="Arial"/>
          <w:sz w:val="16"/>
          <w:szCs w:val="16"/>
        </w:rPr>
      </w:pPr>
      <w:r w:rsidRPr="00431171">
        <w:rPr>
          <w:rFonts w:ascii="Arial" w:hAnsi="Arial" w:cs="Arial"/>
          <w:b/>
          <w:i/>
          <w:noProof/>
          <w:sz w:val="16"/>
          <w:szCs w:val="16"/>
          <w:lang w:eastAsia="hr-HR"/>
        </w:rPr>
        <w:lastRenderedPageBreak/>
        <w:t>U izvještajnom razdoblju</w:t>
      </w:r>
      <w:r w:rsidRPr="00D25992">
        <w:rPr>
          <w:rFonts w:ascii="Arial" w:hAnsi="Arial" w:cs="Arial"/>
          <w:b/>
          <w:i/>
          <w:noProof/>
          <w:sz w:val="16"/>
          <w:szCs w:val="16"/>
          <w:lang w:eastAsia="hr-HR"/>
        </w:rPr>
        <w:t>, rashodi</w:t>
      </w:r>
      <w:r w:rsidRPr="00D311EF">
        <w:rPr>
          <w:rFonts w:ascii="Arial" w:hAnsi="Arial" w:cs="Arial"/>
          <w:b/>
          <w:i/>
          <w:noProof/>
          <w:sz w:val="16"/>
          <w:szCs w:val="16"/>
          <w:lang w:eastAsia="hr-HR"/>
        </w:rPr>
        <w:t xml:space="preserve"> proračunskih korisnika bili su kako slijedi</w:t>
      </w:r>
      <w:r>
        <w:rPr>
          <w:rFonts w:ascii="Arial" w:hAnsi="Arial" w:cs="Arial"/>
          <w:noProof/>
          <w:sz w:val="16"/>
          <w:szCs w:val="16"/>
          <w:lang w:eastAsia="hr-HR"/>
        </w:rPr>
        <w:t>:</w:t>
      </w:r>
    </w:p>
    <w:tbl>
      <w:tblPr>
        <w:tblW w:w="5116" w:type="dxa"/>
        <w:tblInd w:w="95" w:type="dxa"/>
        <w:tblLook w:val="04A0" w:firstRow="1" w:lastRow="0" w:firstColumn="1" w:lastColumn="0" w:noHBand="0" w:noVBand="1"/>
      </w:tblPr>
      <w:tblGrid>
        <w:gridCol w:w="2848"/>
        <w:gridCol w:w="1134"/>
        <w:gridCol w:w="1134"/>
      </w:tblGrid>
      <w:tr w:rsidR="00760997" w:rsidRPr="00016FD7" w14:paraId="5BF9775E" w14:textId="77777777" w:rsidTr="00016FD7">
        <w:trPr>
          <w:trHeight w:val="288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D122" w14:textId="77777777" w:rsidR="00760997" w:rsidRPr="00E363AE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63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BB39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6A8D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 xml:space="preserve">ostvarenje </w:t>
            </w:r>
          </w:p>
        </w:tc>
      </w:tr>
      <w:tr w:rsidR="00760997" w:rsidRPr="00BE20A2" w14:paraId="4A94E8B7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A51" w14:textId="77777777" w:rsidR="00760997" w:rsidRPr="00651892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651892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Gradski muzej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1EC0" w14:textId="053072BD" w:rsidR="00760997" w:rsidRPr="00FF4FBF" w:rsidRDefault="00382C6D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194.375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D80" w14:textId="4B4BD027" w:rsidR="00760997" w:rsidRPr="00FF4FBF" w:rsidRDefault="00382C6D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74.324,02</w:t>
            </w:r>
          </w:p>
        </w:tc>
      </w:tr>
      <w:tr w:rsidR="00760997" w:rsidRPr="00BE20A2" w14:paraId="7673B2D9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FED" w14:textId="77777777" w:rsidR="00760997" w:rsidRPr="00651892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651892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Gradska knjižnica Ivan Vidali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313" w14:textId="337E96B2" w:rsidR="00760997" w:rsidRPr="00FF4FBF" w:rsidRDefault="00277F3C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0990" w14:textId="4513A609" w:rsidR="00760997" w:rsidRPr="00FF4FBF" w:rsidRDefault="00277F3C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74.098,27</w:t>
            </w:r>
          </w:p>
        </w:tc>
      </w:tr>
      <w:tr w:rsidR="00760997" w:rsidRPr="00BE20A2" w14:paraId="4447B8FE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315B" w14:textId="77777777" w:rsidR="00760997" w:rsidRPr="00651892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651892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Dječji vrtić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5A14" w14:textId="046FA816" w:rsidR="00760997" w:rsidRPr="00FF4FBF" w:rsidRDefault="00277F3C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670.363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24A" w14:textId="0C26F2A1" w:rsidR="00760997" w:rsidRPr="00FF4FBF" w:rsidRDefault="00277F3C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351.760,46</w:t>
            </w:r>
          </w:p>
        </w:tc>
      </w:tr>
      <w:tr w:rsidR="00760997" w:rsidRPr="00BE20A2" w14:paraId="32CA4003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8B6" w14:textId="77777777" w:rsidR="00760997" w:rsidRPr="00651892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651892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Centar za kulturu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98D3" w14:textId="30617267" w:rsidR="00760997" w:rsidRPr="00FF4FBF" w:rsidRDefault="00651892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182.095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505" w14:textId="77C0610A" w:rsidR="00760997" w:rsidRPr="00FF4FBF" w:rsidRDefault="00651892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92.663,28</w:t>
            </w:r>
          </w:p>
        </w:tc>
      </w:tr>
      <w:tr w:rsidR="00760997" w:rsidRPr="00BE20A2" w14:paraId="389A7E05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BD9" w14:textId="77777777" w:rsidR="00760997" w:rsidRPr="00651892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651892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Ustanova Športski objekti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F59E" w14:textId="25B72F3D" w:rsidR="00760997" w:rsidRPr="00FF4FBF" w:rsidRDefault="00651892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AAB" w14:textId="3A7BDFF1" w:rsidR="00760997" w:rsidRPr="00FF4FBF" w:rsidRDefault="00651892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231.754,86</w:t>
            </w:r>
          </w:p>
        </w:tc>
      </w:tr>
      <w:tr w:rsidR="00760997" w:rsidRPr="00BE20A2" w14:paraId="3F012C89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EE0" w14:textId="77777777" w:rsidR="00760997" w:rsidRPr="009C1D94" w:rsidRDefault="00760997" w:rsidP="00405F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hr-HR"/>
              </w:rPr>
            </w:pPr>
            <w:r w:rsidRPr="009C1D94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9EAB" w14:textId="7A5EB041" w:rsidR="00760997" w:rsidRPr="009C1D94" w:rsidRDefault="009C1D94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hr-HR"/>
              </w:rPr>
            </w:pPr>
            <w:r w:rsidRPr="009C1D94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hr-HR"/>
              </w:rPr>
              <w:t>1.670.628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0846" w14:textId="7EB7FA1B" w:rsidR="00760997" w:rsidRPr="009C1D94" w:rsidRDefault="009C1D94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hr-HR"/>
              </w:rPr>
            </w:pPr>
            <w:bookmarkStart w:id="0" w:name="_Hlk145925090"/>
            <w:r w:rsidRPr="009C1D94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hr-HR"/>
              </w:rPr>
              <w:t>824.600,89</w:t>
            </w:r>
            <w:bookmarkEnd w:id="0"/>
          </w:p>
        </w:tc>
      </w:tr>
    </w:tbl>
    <w:p w14:paraId="33FA0D42" w14:textId="0F9B2082" w:rsidR="00FC1C09" w:rsidRDefault="00FC1C09" w:rsidP="00760997">
      <w:pPr>
        <w:jc w:val="both"/>
        <w:rPr>
          <w:rFonts w:ascii="Arial" w:hAnsi="Arial" w:cs="Arial"/>
          <w:sz w:val="16"/>
          <w:szCs w:val="16"/>
        </w:rPr>
      </w:pPr>
    </w:p>
    <w:p w14:paraId="4A05DD8F" w14:textId="5D1CCD9E" w:rsidR="00C405BF" w:rsidRDefault="00C405BF" w:rsidP="00760997">
      <w:pPr>
        <w:jc w:val="both"/>
        <w:rPr>
          <w:rFonts w:ascii="Arial" w:hAnsi="Arial" w:cs="Arial"/>
          <w:sz w:val="16"/>
          <w:szCs w:val="16"/>
        </w:rPr>
      </w:pPr>
    </w:p>
    <w:p w14:paraId="35090269" w14:textId="6CC9A512" w:rsidR="00520CB9" w:rsidRDefault="009C1D94" w:rsidP="00760997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0ECE8313" wp14:editId="6F88D632">
            <wp:extent cx="5886450" cy="3781425"/>
            <wp:effectExtent l="0" t="0" r="0" b="0"/>
            <wp:docPr id="20157221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1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8FC498" w14:textId="77777777" w:rsidR="00520CB9" w:rsidRDefault="00520CB9" w:rsidP="00760997">
      <w:pPr>
        <w:jc w:val="both"/>
        <w:rPr>
          <w:rFonts w:ascii="Arial" w:hAnsi="Arial" w:cs="Arial"/>
          <w:sz w:val="16"/>
          <w:szCs w:val="16"/>
        </w:rPr>
      </w:pPr>
    </w:p>
    <w:p w14:paraId="4FE389C4" w14:textId="326D5B1D" w:rsidR="00520CB9" w:rsidRDefault="00520CB9" w:rsidP="005B0802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39FB1D3A" w14:textId="1B6013C7" w:rsidR="00760997" w:rsidRPr="00884312" w:rsidRDefault="00760997" w:rsidP="005B0802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884312">
        <w:rPr>
          <w:rFonts w:ascii="Arial" w:hAnsi="Arial" w:cs="Arial"/>
          <w:b/>
          <w:i/>
          <w:sz w:val="20"/>
          <w:szCs w:val="20"/>
          <w:u w:val="single"/>
        </w:rPr>
        <w:lastRenderedPageBreak/>
        <w:t xml:space="preserve">Izvještaj o korištenju proračunske zalihe  </w:t>
      </w:r>
    </w:p>
    <w:p w14:paraId="62DF1642" w14:textId="55DDC280" w:rsidR="00CE69C8" w:rsidRPr="00E363AE" w:rsidRDefault="009F013C" w:rsidP="00F54D66">
      <w:pPr>
        <w:ind w:right="57"/>
        <w:jc w:val="both"/>
        <w:rPr>
          <w:rFonts w:ascii="Arial" w:hAnsi="Arial" w:cs="Arial"/>
          <w:b/>
          <w:bCs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U 202</w:t>
      </w:r>
      <w:r w:rsidR="003A7A68">
        <w:rPr>
          <w:rFonts w:ascii="Arial" w:hAnsi="Arial" w:cs="Arial"/>
          <w:sz w:val="18"/>
          <w:szCs w:val="18"/>
        </w:rPr>
        <w:t>3</w:t>
      </w:r>
      <w:r w:rsidR="00760997" w:rsidRPr="00884312">
        <w:rPr>
          <w:rFonts w:ascii="Arial" w:hAnsi="Arial" w:cs="Arial"/>
          <w:sz w:val="18"/>
          <w:szCs w:val="18"/>
        </w:rPr>
        <w:t xml:space="preserve">.godini planirana je proračunska zaliha od </w:t>
      </w:r>
      <w:r w:rsidR="0052776B" w:rsidRPr="00884312">
        <w:rPr>
          <w:rFonts w:ascii="Arial" w:hAnsi="Arial" w:cs="Arial"/>
          <w:sz w:val="18"/>
          <w:szCs w:val="18"/>
        </w:rPr>
        <w:t>1</w:t>
      </w:r>
      <w:r w:rsidR="003A7A68">
        <w:rPr>
          <w:rFonts w:ascii="Arial" w:hAnsi="Arial" w:cs="Arial"/>
          <w:sz w:val="18"/>
          <w:szCs w:val="18"/>
        </w:rPr>
        <w:t>0.000 EUR</w:t>
      </w:r>
      <w:r w:rsidR="00760997" w:rsidRPr="00884312">
        <w:rPr>
          <w:rFonts w:ascii="Arial" w:hAnsi="Arial" w:cs="Arial"/>
          <w:sz w:val="18"/>
          <w:szCs w:val="18"/>
        </w:rPr>
        <w:t xml:space="preserve"> za </w:t>
      </w:r>
      <w:r w:rsidR="004A63EB">
        <w:rPr>
          <w:rFonts w:ascii="Arial" w:hAnsi="Arial" w:cs="Arial"/>
          <w:sz w:val="18"/>
          <w:szCs w:val="18"/>
        </w:rPr>
        <w:t xml:space="preserve">financiranje rashoda nastalih pri otklanjanju posljedica elementarnih nepogoda, epidemija, ekoloških i ostalih nepredvidivih nesreća odnosno izvanrednih događaja tijekom godine. </w:t>
      </w:r>
      <w:r w:rsidR="003A7A68">
        <w:rPr>
          <w:rFonts w:ascii="Arial" w:hAnsi="Arial" w:cs="Arial"/>
          <w:sz w:val="18"/>
          <w:szCs w:val="18"/>
        </w:rPr>
        <w:t>U ovom razdoblju nije bilo rashoda iz proračunske zalihe.</w:t>
      </w:r>
    </w:p>
    <w:p w14:paraId="1B3D5886" w14:textId="77777777" w:rsidR="00E461BF" w:rsidRDefault="00E461BF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58DC8557" w14:textId="1D0BA8D2" w:rsidR="00760997" w:rsidRPr="00BF5ACA" w:rsidRDefault="00760997" w:rsidP="00760997">
      <w:pPr>
        <w:ind w:right="57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347E65">
        <w:rPr>
          <w:rFonts w:ascii="Arial" w:hAnsi="Arial" w:cs="Arial"/>
          <w:b/>
          <w:i/>
          <w:sz w:val="20"/>
          <w:szCs w:val="20"/>
          <w:u w:val="single"/>
        </w:rPr>
        <w:t>Izvještaj o zad</w:t>
      </w:r>
      <w:r w:rsidR="00E461BF" w:rsidRPr="00347E65">
        <w:rPr>
          <w:rFonts w:ascii="Arial" w:hAnsi="Arial" w:cs="Arial"/>
          <w:b/>
          <w:i/>
          <w:sz w:val="20"/>
          <w:szCs w:val="20"/>
          <w:u w:val="single"/>
        </w:rPr>
        <w:t>uživanju</w:t>
      </w:r>
      <w:r w:rsidR="00E461BF" w:rsidRPr="00884312">
        <w:rPr>
          <w:rFonts w:ascii="Arial" w:hAnsi="Arial" w:cs="Arial"/>
          <w:b/>
          <w:i/>
          <w:sz w:val="20"/>
          <w:szCs w:val="20"/>
          <w:u w:val="single"/>
        </w:rPr>
        <w:t xml:space="preserve"> i danim</w:t>
      </w:r>
      <w:r w:rsidR="00E461BF" w:rsidRPr="000B63DC">
        <w:rPr>
          <w:rFonts w:ascii="Arial" w:hAnsi="Arial" w:cs="Arial"/>
          <w:b/>
          <w:i/>
          <w:sz w:val="20"/>
          <w:szCs w:val="20"/>
          <w:u w:val="single"/>
        </w:rPr>
        <w:t xml:space="preserve"> jamstvima</w:t>
      </w:r>
      <w:r w:rsidR="00E461BF">
        <w:rPr>
          <w:rFonts w:ascii="Arial" w:hAnsi="Arial" w:cs="Arial"/>
          <w:b/>
          <w:i/>
          <w:sz w:val="20"/>
          <w:szCs w:val="20"/>
          <w:u w:val="single"/>
        </w:rPr>
        <w:t xml:space="preserve"> u 202</w:t>
      </w:r>
      <w:r w:rsidR="00347E65">
        <w:rPr>
          <w:rFonts w:ascii="Arial" w:hAnsi="Arial" w:cs="Arial"/>
          <w:b/>
          <w:i/>
          <w:sz w:val="20"/>
          <w:szCs w:val="20"/>
          <w:u w:val="single"/>
        </w:rPr>
        <w:t>3</w:t>
      </w:r>
      <w:r w:rsidRPr="00D311EF">
        <w:rPr>
          <w:rFonts w:ascii="Arial" w:hAnsi="Arial" w:cs="Arial"/>
          <w:b/>
          <w:i/>
          <w:sz w:val="18"/>
          <w:szCs w:val="18"/>
          <w:u w:val="single"/>
        </w:rPr>
        <w:t>.</w:t>
      </w:r>
    </w:p>
    <w:p w14:paraId="166DCB7A" w14:textId="77777777" w:rsidR="00347E65" w:rsidRDefault="009737FD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9737FD">
        <w:rPr>
          <w:rFonts w:ascii="Arial" w:hAnsi="Arial" w:cs="Arial"/>
          <w:sz w:val="18"/>
          <w:szCs w:val="18"/>
        </w:rPr>
        <w:t xml:space="preserve">Otplata </w:t>
      </w:r>
      <w:r w:rsidR="001379ED">
        <w:rPr>
          <w:rFonts w:ascii="Arial" w:hAnsi="Arial" w:cs="Arial"/>
          <w:sz w:val="18"/>
          <w:szCs w:val="18"/>
        </w:rPr>
        <w:t xml:space="preserve">neotplaćene </w:t>
      </w:r>
      <w:r w:rsidRPr="009737FD">
        <w:rPr>
          <w:rFonts w:ascii="Arial" w:hAnsi="Arial" w:cs="Arial"/>
          <w:sz w:val="18"/>
          <w:szCs w:val="18"/>
        </w:rPr>
        <w:t>glavnice dugoročnog kredita HBOR-a za Projekte Grada,</w:t>
      </w:r>
      <w:r>
        <w:rPr>
          <w:rFonts w:ascii="Arial" w:hAnsi="Arial" w:cs="Arial"/>
          <w:sz w:val="18"/>
          <w:szCs w:val="18"/>
        </w:rPr>
        <w:t xml:space="preserve"> </w:t>
      </w:r>
      <w:r w:rsidR="001379ED">
        <w:rPr>
          <w:rFonts w:ascii="Arial" w:hAnsi="Arial" w:cs="Arial"/>
          <w:sz w:val="18"/>
          <w:szCs w:val="18"/>
        </w:rPr>
        <w:t>započela je u ovom razdoblju i iznosi 32.338,62 EUR.</w:t>
      </w:r>
      <w:r w:rsidR="006202E7">
        <w:rPr>
          <w:rFonts w:ascii="Arial" w:hAnsi="Arial" w:cs="Arial"/>
          <w:sz w:val="18"/>
          <w:szCs w:val="18"/>
        </w:rPr>
        <w:t xml:space="preserve"> Otplatna rata iznosi 10.779,54 a rok otplate je 9 godina odnosno 108 jednakih uzastopnih mjesečnih rata. </w:t>
      </w:r>
    </w:p>
    <w:p w14:paraId="1EF4380B" w14:textId="08D869B1" w:rsidR="00760997" w:rsidRPr="009737FD" w:rsidRDefault="00347E65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Otplata glavnice dugoročnog kredita HBOR-a za Modernizaciju javne rasvjete</w:t>
      </w:r>
      <w:r w:rsidR="009737FD" w:rsidRPr="009737F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 ovom razdoblju nije započela.</w:t>
      </w:r>
    </w:p>
    <w:p w14:paraId="459D56BB" w14:textId="60546FEC" w:rsidR="00395B80" w:rsidRPr="009737FD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9737FD">
        <w:rPr>
          <w:rFonts w:ascii="Arial" w:hAnsi="Arial" w:cs="Arial"/>
          <w:sz w:val="18"/>
          <w:szCs w:val="18"/>
        </w:rPr>
        <w:t xml:space="preserve">Kamate po </w:t>
      </w:r>
      <w:r w:rsidR="00B93778">
        <w:rPr>
          <w:rFonts w:ascii="Arial" w:hAnsi="Arial" w:cs="Arial"/>
          <w:sz w:val="18"/>
          <w:szCs w:val="18"/>
        </w:rPr>
        <w:t xml:space="preserve">dugoročnom </w:t>
      </w:r>
      <w:r w:rsidRPr="009737FD">
        <w:rPr>
          <w:rFonts w:ascii="Arial" w:hAnsi="Arial" w:cs="Arial"/>
          <w:sz w:val="18"/>
          <w:szCs w:val="18"/>
        </w:rPr>
        <w:t>kreditu HBOR-a za Projekte Grada</w:t>
      </w:r>
      <w:r w:rsidR="009737FD">
        <w:rPr>
          <w:rFonts w:ascii="Arial" w:hAnsi="Arial" w:cs="Arial"/>
          <w:sz w:val="18"/>
          <w:szCs w:val="18"/>
        </w:rPr>
        <w:t xml:space="preserve"> i Modernizaciju javne rasvjete, </w:t>
      </w:r>
      <w:r w:rsidRPr="009737FD">
        <w:rPr>
          <w:rFonts w:ascii="Arial" w:hAnsi="Arial" w:cs="Arial"/>
          <w:sz w:val="18"/>
          <w:szCs w:val="18"/>
        </w:rPr>
        <w:t xml:space="preserve">plaćene su prema dospjeću i iznose </w:t>
      </w:r>
      <w:r w:rsidR="00347E65">
        <w:rPr>
          <w:rFonts w:ascii="Arial" w:hAnsi="Arial" w:cs="Arial"/>
          <w:sz w:val="18"/>
          <w:szCs w:val="18"/>
        </w:rPr>
        <w:t>10.272,84</w:t>
      </w:r>
      <w:r w:rsidRPr="009737FD">
        <w:rPr>
          <w:rFonts w:ascii="Arial" w:hAnsi="Arial" w:cs="Arial"/>
          <w:sz w:val="18"/>
          <w:szCs w:val="18"/>
        </w:rPr>
        <w:t xml:space="preserve">. </w:t>
      </w:r>
    </w:p>
    <w:p w14:paraId="0C9FEB04" w14:textId="77777777" w:rsidR="00395B80" w:rsidRPr="009737FD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6A305B8F" w14:textId="68AB3DCF" w:rsidR="00760997" w:rsidRDefault="00760997" w:rsidP="001379ED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D56503">
        <w:rPr>
          <w:rFonts w:ascii="Arial" w:hAnsi="Arial" w:cs="Arial"/>
          <w:sz w:val="18"/>
          <w:szCs w:val="18"/>
        </w:rPr>
        <w:t>Jamstva nisu</w:t>
      </w:r>
      <w:r w:rsidRPr="00BF5ACA">
        <w:rPr>
          <w:rFonts w:ascii="Arial" w:hAnsi="Arial" w:cs="Arial"/>
          <w:sz w:val="18"/>
          <w:szCs w:val="18"/>
        </w:rPr>
        <w:t xml:space="preserve"> izdavana, zajmovi nisu davani. </w:t>
      </w:r>
    </w:p>
    <w:p w14:paraId="70F74E11" w14:textId="77777777" w:rsidR="00347E65" w:rsidRDefault="00347E65" w:rsidP="001379ED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3E6E855" w14:textId="77777777" w:rsidR="001379ED" w:rsidRDefault="001379ED" w:rsidP="001379ED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056D6F6" w14:textId="77777777" w:rsidR="001379ED" w:rsidRPr="001379ED" w:rsidRDefault="001379ED" w:rsidP="001379ED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B943F73" w14:textId="6E732F0A" w:rsidR="001379ED" w:rsidRDefault="00760997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  <w:r w:rsidRPr="001003BA">
        <w:rPr>
          <w:rFonts w:ascii="Arial" w:hAnsi="Arial" w:cs="Arial"/>
          <w:b/>
          <w:sz w:val="18"/>
          <w:szCs w:val="18"/>
        </w:rPr>
        <w:t>Primljeni zajmovi i otplate</w:t>
      </w:r>
    </w:p>
    <w:tbl>
      <w:tblPr>
        <w:tblW w:w="10440" w:type="dxa"/>
        <w:tblInd w:w="113" w:type="dxa"/>
        <w:tblLook w:val="04A0" w:firstRow="1" w:lastRow="0" w:firstColumn="1" w:lastColumn="0" w:noHBand="0" w:noVBand="1"/>
      </w:tblPr>
      <w:tblGrid>
        <w:gridCol w:w="760"/>
        <w:gridCol w:w="2400"/>
        <w:gridCol w:w="1920"/>
        <w:gridCol w:w="1520"/>
        <w:gridCol w:w="1900"/>
        <w:gridCol w:w="1940"/>
      </w:tblGrid>
      <w:tr w:rsidR="001379ED" w:rsidRPr="001379ED" w14:paraId="1DEA1350" w14:textId="77777777" w:rsidTr="001379ED">
        <w:trPr>
          <w:trHeight w:val="6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D387DA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0F6CD1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E77BA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D3E054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51D47B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11D9F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1379ED" w:rsidRPr="001379ED" w14:paraId="72290741" w14:textId="77777777" w:rsidTr="001379ED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A088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4B4A" w14:textId="77777777" w:rsidR="001379ED" w:rsidRPr="001379ED" w:rsidRDefault="001379ED" w:rsidP="0013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0D1C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1.163.920,37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99A1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32.338,62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80A5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F48A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1.131.581,75</w:t>
            </w:r>
          </w:p>
        </w:tc>
      </w:tr>
      <w:tr w:rsidR="001379ED" w:rsidRPr="001379ED" w14:paraId="23FA43EB" w14:textId="77777777" w:rsidTr="001379ED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4080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39F3" w14:textId="77777777" w:rsidR="001379ED" w:rsidRPr="001379ED" w:rsidRDefault="001379ED" w:rsidP="0013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1C1B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743.250,55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2954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361C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ABA9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743.250,55</w:t>
            </w:r>
          </w:p>
        </w:tc>
      </w:tr>
      <w:tr w:rsidR="001379ED" w:rsidRPr="001379ED" w14:paraId="3932F7DD" w14:textId="77777777" w:rsidTr="001379ED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0C59D3" w14:textId="77777777" w:rsidR="001379ED" w:rsidRPr="001379ED" w:rsidRDefault="001379ED" w:rsidP="0013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ECA1F" w14:textId="77777777" w:rsidR="001379ED" w:rsidRPr="001379ED" w:rsidRDefault="001379ED" w:rsidP="0013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FCD244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1.907.170,92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1B4DBA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32.338,62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195F0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1E8F6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1.874.832,30</w:t>
            </w:r>
          </w:p>
        </w:tc>
      </w:tr>
      <w:tr w:rsidR="001379ED" w:rsidRPr="001379ED" w14:paraId="2A011CA9" w14:textId="77777777" w:rsidTr="001379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B299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8534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EBD6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69AD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F221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C57C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379ED" w:rsidRPr="001379ED" w14:paraId="6D48E442" w14:textId="77777777" w:rsidTr="001379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477B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E31E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E0E5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99B7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EA4F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90AD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379ED" w:rsidRPr="001379ED" w14:paraId="5D7CC6C1" w14:textId="77777777" w:rsidTr="001379ED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B24BE7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16C4A0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81D5B1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EF972F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dospjele kamate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879C2C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plaćene kamate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7F235F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1379ED" w:rsidRPr="001379ED" w14:paraId="53E196B4" w14:textId="77777777" w:rsidTr="001379ED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D2C0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D428" w14:textId="77777777" w:rsidR="001379ED" w:rsidRPr="001379ED" w:rsidRDefault="001379ED" w:rsidP="0013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FC85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22B4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9.904,26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2990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9.904,26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33F2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379ED" w:rsidRPr="001379ED" w14:paraId="2F44B915" w14:textId="77777777" w:rsidTr="001379ED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5A00" w14:textId="77777777" w:rsidR="001379ED" w:rsidRPr="001379ED" w:rsidRDefault="001379ED" w:rsidP="0013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66FA" w14:textId="77777777" w:rsidR="001379ED" w:rsidRPr="001379ED" w:rsidRDefault="001379ED" w:rsidP="0013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4868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917A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368,58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CB0A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368,58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10AE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379ED" w:rsidRPr="001379ED" w14:paraId="022BE58D" w14:textId="77777777" w:rsidTr="001379ED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D143F" w14:textId="77777777" w:rsidR="001379ED" w:rsidRPr="001379ED" w:rsidRDefault="001379ED" w:rsidP="0013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7EA8E1" w14:textId="77777777" w:rsidR="001379ED" w:rsidRPr="001379ED" w:rsidRDefault="001379ED" w:rsidP="0013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217A1C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564AC1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10.272,84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7EABFF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10.272,84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994654" w14:textId="77777777" w:rsidR="001379ED" w:rsidRPr="001379ED" w:rsidRDefault="001379ED" w:rsidP="00137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79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379ED" w:rsidRPr="001379ED" w14:paraId="5B25C33E" w14:textId="77777777" w:rsidTr="001379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A6A6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ECB9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3472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DEF0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A21D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EF01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379ED" w:rsidRPr="001379ED" w14:paraId="099383B0" w14:textId="77777777" w:rsidTr="001379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0A92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7635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89B2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6595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B889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041C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1F4763DE" w14:textId="25BAAA7D" w:rsidR="001379ED" w:rsidRPr="001003BA" w:rsidRDefault="001379ED" w:rsidP="00431171">
      <w:pPr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1379ED" w:rsidRPr="001003BA" w:rsidSect="00405F2A">
      <w:footerReference w:type="default" r:id="rId12"/>
      <w:pgSz w:w="15840" w:h="12240" w:orient="landscape"/>
      <w:pgMar w:top="1418" w:right="1418" w:bottom="680" w:left="1418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C7E3" w14:textId="77777777" w:rsidR="000B0B67" w:rsidRDefault="000B0B67" w:rsidP="00E86DF3">
      <w:pPr>
        <w:spacing w:after="0" w:line="240" w:lineRule="auto"/>
      </w:pPr>
      <w:r>
        <w:separator/>
      </w:r>
    </w:p>
  </w:endnote>
  <w:endnote w:type="continuationSeparator" w:id="0">
    <w:p w14:paraId="6A73D7E4" w14:textId="77777777" w:rsidR="000B0B67" w:rsidRDefault="000B0B67" w:rsidP="00E8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3094"/>
      <w:docPartObj>
        <w:docPartGallery w:val="Page Numbers (Bottom of Page)"/>
        <w:docPartUnique/>
      </w:docPartObj>
    </w:sdtPr>
    <w:sdtEndPr/>
    <w:sdtContent>
      <w:p w14:paraId="7CEB8D79" w14:textId="77777777" w:rsidR="005859D2" w:rsidRDefault="005F4A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8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39F680B" w14:textId="77777777" w:rsidR="005859D2" w:rsidRDefault="00585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F7CE" w14:textId="77777777" w:rsidR="000B0B67" w:rsidRDefault="000B0B67" w:rsidP="00E86DF3">
      <w:pPr>
        <w:spacing w:after="0" w:line="240" w:lineRule="auto"/>
      </w:pPr>
      <w:r>
        <w:separator/>
      </w:r>
    </w:p>
  </w:footnote>
  <w:footnote w:type="continuationSeparator" w:id="0">
    <w:p w14:paraId="6B59F78F" w14:textId="77777777" w:rsidR="000B0B67" w:rsidRDefault="000B0B67" w:rsidP="00E8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D41"/>
    <w:multiLevelType w:val="hybridMultilevel"/>
    <w:tmpl w:val="5EAE91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1AB9"/>
    <w:multiLevelType w:val="hybridMultilevel"/>
    <w:tmpl w:val="C464B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474F"/>
    <w:multiLevelType w:val="hybridMultilevel"/>
    <w:tmpl w:val="E092C1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81687">
    <w:abstractNumId w:val="1"/>
  </w:num>
  <w:num w:numId="2" w16cid:durableId="531187195">
    <w:abstractNumId w:val="0"/>
  </w:num>
  <w:num w:numId="3" w16cid:durableId="214670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997"/>
    <w:rsid w:val="00003FEF"/>
    <w:rsid w:val="00016FD7"/>
    <w:rsid w:val="00022F14"/>
    <w:rsid w:val="000233C4"/>
    <w:rsid w:val="000268B5"/>
    <w:rsid w:val="00036AC9"/>
    <w:rsid w:val="0006646F"/>
    <w:rsid w:val="00071140"/>
    <w:rsid w:val="000740B3"/>
    <w:rsid w:val="00081833"/>
    <w:rsid w:val="000965BC"/>
    <w:rsid w:val="000A50D3"/>
    <w:rsid w:val="000B0B67"/>
    <w:rsid w:val="000B26C6"/>
    <w:rsid w:val="000B63DC"/>
    <w:rsid w:val="000C210D"/>
    <w:rsid w:val="000E7D7C"/>
    <w:rsid w:val="000F4158"/>
    <w:rsid w:val="001107F8"/>
    <w:rsid w:val="00113E9D"/>
    <w:rsid w:val="00120BD4"/>
    <w:rsid w:val="0012563D"/>
    <w:rsid w:val="00131A87"/>
    <w:rsid w:val="00132B02"/>
    <w:rsid w:val="001379ED"/>
    <w:rsid w:val="00145819"/>
    <w:rsid w:val="001460CC"/>
    <w:rsid w:val="00170CAB"/>
    <w:rsid w:val="00173078"/>
    <w:rsid w:val="00181E64"/>
    <w:rsid w:val="00181ECE"/>
    <w:rsid w:val="001A136D"/>
    <w:rsid w:val="001A631C"/>
    <w:rsid w:val="001B29BF"/>
    <w:rsid w:val="001B3783"/>
    <w:rsid w:val="001C34C5"/>
    <w:rsid w:val="001C5AC8"/>
    <w:rsid w:val="001C6C3A"/>
    <w:rsid w:val="001F78B6"/>
    <w:rsid w:val="0020391E"/>
    <w:rsid w:val="00231984"/>
    <w:rsid w:val="0023742E"/>
    <w:rsid w:val="002379A6"/>
    <w:rsid w:val="00244EA9"/>
    <w:rsid w:val="00250FF3"/>
    <w:rsid w:val="0026241F"/>
    <w:rsid w:val="00277F3C"/>
    <w:rsid w:val="00286202"/>
    <w:rsid w:val="002C645F"/>
    <w:rsid w:val="002D0C04"/>
    <w:rsid w:val="002D7A86"/>
    <w:rsid w:val="002E020F"/>
    <w:rsid w:val="002E1181"/>
    <w:rsid w:val="002E3B4D"/>
    <w:rsid w:val="002E58E1"/>
    <w:rsid w:val="002F2993"/>
    <w:rsid w:val="002F3338"/>
    <w:rsid w:val="00300E9B"/>
    <w:rsid w:val="00310690"/>
    <w:rsid w:val="00311BAE"/>
    <w:rsid w:val="003209FD"/>
    <w:rsid w:val="00323F1D"/>
    <w:rsid w:val="00335670"/>
    <w:rsid w:val="00343027"/>
    <w:rsid w:val="00347E65"/>
    <w:rsid w:val="003672B7"/>
    <w:rsid w:val="00375523"/>
    <w:rsid w:val="00382C6D"/>
    <w:rsid w:val="00384E13"/>
    <w:rsid w:val="00391BF4"/>
    <w:rsid w:val="00395B80"/>
    <w:rsid w:val="003A788B"/>
    <w:rsid w:val="003A7A68"/>
    <w:rsid w:val="003B2271"/>
    <w:rsid w:val="003C0E80"/>
    <w:rsid w:val="003C6D04"/>
    <w:rsid w:val="003D2BFC"/>
    <w:rsid w:val="003D4E96"/>
    <w:rsid w:val="003D634A"/>
    <w:rsid w:val="003E2B52"/>
    <w:rsid w:val="003F4DAE"/>
    <w:rsid w:val="003F6EE6"/>
    <w:rsid w:val="00401DCF"/>
    <w:rsid w:val="00405F2A"/>
    <w:rsid w:val="00406121"/>
    <w:rsid w:val="00412C33"/>
    <w:rsid w:val="00412ED3"/>
    <w:rsid w:val="00414411"/>
    <w:rsid w:val="00416A60"/>
    <w:rsid w:val="004233A2"/>
    <w:rsid w:val="00431171"/>
    <w:rsid w:val="0043480B"/>
    <w:rsid w:val="00434E6F"/>
    <w:rsid w:val="00434E78"/>
    <w:rsid w:val="0044293B"/>
    <w:rsid w:val="00445BBF"/>
    <w:rsid w:val="00454610"/>
    <w:rsid w:val="004665C9"/>
    <w:rsid w:val="00470816"/>
    <w:rsid w:val="00496ADF"/>
    <w:rsid w:val="004A0571"/>
    <w:rsid w:val="004A2232"/>
    <w:rsid w:val="004A2A59"/>
    <w:rsid w:val="004A30C6"/>
    <w:rsid w:val="004A563F"/>
    <w:rsid w:val="004A6234"/>
    <w:rsid w:val="004A63EB"/>
    <w:rsid w:val="004A6BC3"/>
    <w:rsid w:val="004C0CF4"/>
    <w:rsid w:val="004C2A67"/>
    <w:rsid w:val="004C45D8"/>
    <w:rsid w:val="004D336E"/>
    <w:rsid w:val="004D427A"/>
    <w:rsid w:val="004E56F6"/>
    <w:rsid w:val="004E7495"/>
    <w:rsid w:val="0050049F"/>
    <w:rsid w:val="00502306"/>
    <w:rsid w:val="00517487"/>
    <w:rsid w:val="00520CB9"/>
    <w:rsid w:val="0052776B"/>
    <w:rsid w:val="00532666"/>
    <w:rsid w:val="0053796F"/>
    <w:rsid w:val="00544179"/>
    <w:rsid w:val="00547F64"/>
    <w:rsid w:val="0055159B"/>
    <w:rsid w:val="00553095"/>
    <w:rsid w:val="0055408D"/>
    <w:rsid w:val="005554FA"/>
    <w:rsid w:val="0058180E"/>
    <w:rsid w:val="0058508E"/>
    <w:rsid w:val="005859D2"/>
    <w:rsid w:val="00595F01"/>
    <w:rsid w:val="00597086"/>
    <w:rsid w:val="005A7C39"/>
    <w:rsid w:val="005B0802"/>
    <w:rsid w:val="005B5A0D"/>
    <w:rsid w:val="005F13D1"/>
    <w:rsid w:val="005F4A35"/>
    <w:rsid w:val="00617057"/>
    <w:rsid w:val="006202E7"/>
    <w:rsid w:val="006255F3"/>
    <w:rsid w:val="00626896"/>
    <w:rsid w:val="00631241"/>
    <w:rsid w:val="00636131"/>
    <w:rsid w:val="0064123B"/>
    <w:rsid w:val="00651892"/>
    <w:rsid w:val="00657DA6"/>
    <w:rsid w:val="006627A7"/>
    <w:rsid w:val="00662F55"/>
    <w:rsid w:val="00663CA6"/>
    <w:rsid w:val="00664014"/>
    <w:rsid w:val="00671E56"/>
    <w:rsid w:val="006722CE"/>
    <w:rsid w:val="00672C1D"/>
    <w:rsid w:val="00684913"/>
    <w:rsid w:val="006861E6"/>
    <w:rsid w:val="006A7B40"/>
    <w:rsid w:val="006B2C6D"/>
    <w:rsid w:val="006B4F38"/>
    <w:rsid w:val="006C43AF"/>
    <w:rsid w:val="006C47B9"/>
    <w:rsid w:val="006C4A82"/>
    <w:rsid w:val="006D13C7"/>
    <w:rsid w:val="006D1DE8"/>
    <w:rsid w:val="006E6BEF"/>
    <w:rsid w:val="006F51F1"/>
    <w:rsid w:val="00703EF4"/>
    <w:rsid w:val="0071572F"/>
    <w:rsid w:val="00735916"/>
    <w:rsid w:val="00760997"/>
    <w:rsid w:val="00762218"/>
    <w:rsid w:val="00771F4D"/>
    <w:rsid w:val="00774081"/>
    <w:rsid w:val="00774CB7"/>
    <w:rsid w:val="007779C8"/>
    <w:rsid w:val="007A3281"/>
    <w:rsid w:val="007A4EE4"/>
    <w:rsid w:val="007B788A"/>
    <w:rsid w:val="007D6B90"/>
    <w:rsid w:val="007E17D7"/>
    <w:rsid w:val="007E24A7"/>
    <w:rsid w:val="007E75C6"/>
    <w:rsid w:val="007F5459"/>
    <w:rsid w:val="007F57CA"/>
    <w:rsid w:val="00811A5F"/>
    <w:rsid w:val="008132DA"/>
    <w:rsid w:val="00813EF2"/>
    <w:rsid w:val="00814827"/>
    <w:rsid w:val="00820AF0"/>
    <w:rsid w:val="0082669D"/>
    <w:rsid w:val="0083767D"/>
    <w:rsid w:val="008413C9"/>
    <w:rsid w:val="00842EFC"/>
    <w:rsid w:val="00844AEA"/>
    <w:rsid w:val="008465C5"/>
    <w:rsid w:val="00862642"/>
    <w:rsid w:val="008650BD"/>
    <w:rsid w:val="00875705"/>
    <w:rsid w:val="00881D01"/>
    <w:rsid w:val="008826B2"/>
    <w:rsid w:val="00884312"/>
    <w:rsid w:val="00895FA9"/>
    <w:rsid w:val="008B1E87"/>
    <w:rsid w:val="008C279F"/>
    <w:rsid w:val="008D1006"/>
    <w:rsid w:val="008D4AC5"/>
    <w:rsid w:val="008D4E62"/>
    <w:rsid w:val="008E097A"/>
    <w:rsid w:val="008F3957"/>
    <w:rsid w:val="00905760"/>
    <w:rsid w:val="009101EE"/>
    <w:rsid w:val="0091527B"/>
    <w:rsid w:val="00926F53"/>
    <w:rsid w:val="00937569"/>
    <w:rsid w:val="00942953"/>
    <w:rsid w:val="0095024E"/>
    <w:rsid w:val="0095149B"/>
    <w:rsid w:val="009555AD"/>
    <w:rsid w:val="00956818"/>
    <w:rsid w:val="00956C83"/>
    <w:rsid w:val="009647C8"/>
    <w:rsid w:val="009737FD"/>
    <w:rsid w:val="00973AB1"/>
    <w:rsid w:val="00994228"/>
    <w:rsid w:val="009958D1"/>
    <w:rsid w:val="009B4F73"/>
    <w:rsid w:val="009C142C"/>
    <w:rsid w:val="009C1D94"/>
    <w:rsid w:val="009D7EF0"/>
    <w:rsid w:val="009F013C"/>
    <w:rsid w:val="009F235E"/>
    <w:rsid w:val="009F782E"/>
    <w:rsid w:val="00A0252D"/>
    <w:rsid w:val="00A02CDA"/>
    <w:rsid w:val="00A05E41"/>
    <w:rsid w:val="00A10159"/>
    <w:rsid w:val="00A10B42"/>
    <w:rsid w:val="00A14BD5"/>
    <w:rsid w:val="00A14CB1"/>
    <w:rsid w:val="00A15338"/>
    <w:rsid w:val="00A249FD"/>
    <w:rsid w:val="00A251D6"/>
    <w:rsid w:val="00A30342"/>
    <w:rsid w:val="00A3782A"/>
    <w:rsid w:val="00A43E88"/>
    <w:rsid w:val="00A471B0"/>
    <w:rsid w:val="00A52E08"/>
    <w:rsid w:val="00A5505B"/>
    <w:rsid w:val="00A56D38"/>
    <w:rsid w:val="00A57471"/>
    <w:rsid w:val="00A83089"/>
    <w:rsid w:val="00A92EA0"/>
    <w:rsid w:val="00A96D49"/>
    <w:rsid w:val="00A9757A"/>
    <w:rsid w:val="00AA01FB"/>
    <w:rsid w:val="00AA104C"/>
    <w:rsid w:val="00AA372D"/>
    <w:rsid w:val="00AB0796"/>
    <w:rsid w:val="00AB5D81"/>
    <w:rsid w:val="00AD1511"/>
    <w:rsid w:val="00AF2B3D"/>
    <w:rsid w:val="00AF3D5F"/>
    <w:rsid w:val="00B01214"/>
    <w:rsid w:val="00B04CBF"/>
    <w:rsid w:val="00B06EF8"/>
    <w:rsid w:val="00B12DAE"/>
    <w:rsid w:val="00B46011"/>
    <w:rsid w:val="00B55807"/>
    <w:rsid w:val="00B62C58"/>
    <w:rsid w:val="00B66239"/>
    <w:rsid w:val="00B6714B"/>
    <w:rsid w:val="00B70B66"/>
    <w:rsid w:val="00B76F08"/>
    <w:rsid w:val="00B85ACA"/>
    <w:rsid w:val="00B910B1"/>
    <w:rsid w:val="00B93778"/>
    <w:rsid w:val="00B95EC9"/>
    <w:rsid w:val="00BA2E8F"/>
    <w:rsid w:val="00BA38AD"/>
    <w:rsid w:val="00BB1677"/>
    <w:rsid w:val="00BB3AA1"/>
    <w:rsid w:val="00BC1991"/>
    <w:rsid w:val="00BD4D46"/>
    <w:rsid w:val="00BD53CF"/>
    <w:rsid w:val="00BE0BDD"/>
    <w:rsid w:val="00BF0896"/>
    <w:rsid w:val="00BF2755"/>
    <w:rsid w:val="00BF5577"/>
    <w:rsid w:val="00C07DE0"/>
    <w:rsid w:val="00C11864"/>
    <w:rsid w:val="00C2147F"/>
    <w:rsid w:val="00C23E08"/>
    <w:rsid w:val="00C26FFB"/>
    <w:rsid w:val="00C32CFF"/>
    <w:rsid w:val="00C405BF"/>
    <w:rsid w:val="00C43EC2"/>
    <w:rsid w:val="00C50FB8"/>
    <w:rsid w:val="00C532E3"/>
    <w:rsid w:val="00C7060E"/>
    <w:rsid w:val="00C7089C"/>
    <w:rsid w:val="00C71BDF"/>
    <w:rsid w:val="00C73008"/>
    <w:rsid w:val="00C77D54"/>
    <w:rsid w:val="00C83F9B"/>
    <w:rsid w:val="00C840C8"/>
    <w:rsid w:val="00CA0152"/>
    <w:rsid w:val="00CA520E"/>
    <w:rsid w:val="00CB161C"/>
    <w:rsid w:val="00CC2329"/>
    <w:rsid w:val="00CD4523"/>
    <w:rsid w:val="00CE316F"/>
    <w:rsid w:val="00CE69C8"/>
    <w:rsid w:val="00CF29B0"/>
    <w:rsid w:val="00CF441F"/>
    <w:rsid w:val="00CF5248"/>
    <w:rsid w:val="00D065DA"/>
    <w:rsid w:val="00D07C28"/>
    <w:rsid w:val="00D14D88"/>
    <w:rsid w:val="00D15C85"/>
    <w:rsid w:val="00D15F0F"/>
    <w:rsid w:val="00D22077"/>
    <w:rsid w:val="00D24C08"/>
    <w:rsid w:val="00D25992"/>
    <w:rsid w:val="00D27E6C"/>
    <w:rsid w:val="00D311EF"/>
    <w:rsid w:val="00D32BA2"/>
    <w:rsid w:val="00D379C5"/>
    <w:rsid w:val="00D55ED7"/>
    <w:rsid w:val="00D56503"/>
    <w:rsid w:val="00D66813"/>
    <w:rsid w:val="00D70EB7"/>
    <w:rsid w:val="00D74934"/>
    <w:rsid w:val="00D774F0"/>
    <w:rsid w:val="00D77512"/>
    <w:rsid w:val="00D77BA1"/>
    <w:rsid w:val="00D83426"/>
    <w:rsid w:val="00D90D9F"/>
    <w:rsid w:val="00DA1CCA"/>
    <w:rsid w:val="00DC14B3"/>
    <w:rsid w:val="00DC4E34"/>
    <w:rsid w:val="00DC57C7"/>
    <w:rsid w:val="00DD2AF6"/>
    <w:rsid w:val="00DE0C2F"/>
    <w:rsid w:val="00DF1A3F"/>
    <w:rsid w:val="00DF6253"/>
    <w:rsid w:val="00E07E1A"/>
    <w:rsid w:val="00E36000"/>
    <w:rsid w:val="00E364D7"/>
    <w:rsid w:val="00E461BF"/>
    <w:rsid w:val="00E474C2"/>
    <w:rsid w:val="00E506ED"/>
    <w:rsid w:val="00E52DC5"/>
    <w:rsid w:val="00E5349F"/>
    <w:rsid w:val="00E64181"/>
    <w:rsid w:val="00E67725"/>
    <w:rsid w:val="00E72EC5"/>
    <w:rsid w:val="00E7694F"/>
    <w:rsid w:val="00E778F4"/>
    <w:rsid w:val="00E81E02"/>
    <w:rsid w:val="00E85A46"/>
    <w:rsid w:val="00E86DF3"/>
    <w:rsid w:val="00E967CB"/>
    <w:rsid w:val="00EA0827"/>
    <w:rsid w:val="00EA3286"/>
    <w:rsid w:val="00EA6865"/>
    <w:rsid w:val="00EB2EA8"/>
    <w:rsid w:val="00EB4536"/>
    <w:rsid w:val="00EB5B7E"/>
    <w:rsid w:val="00EC0270"/>
    <w:rsid w:val="00EC05BE"/>
    <w:rsid w:val="00EC2B8F"/>
    <w:rsid w:val="00EC5435"/>
    <w:rsid w:val="00EC7F42"/>
    <w:rsid w:val="00EF32ED"/>
    <w:rsid w:val="00EF72F7"/>
    <w:rsid w:val="00F016FB"/>
    <w:rsid w:val="00F02FF7"/>
    <w:rsid w:val="00F06AD4"/>
    <w:rsid w:val="00F07454"/>
    <w:rsid w:val="00F15EC8"/>
    <w:rsid w:val="00F21237"/>
    <w:rsid w:val="00F232B8"/>
    <w:rsid w:val="00F237FF"/>
    <w:rsid w:val="00F32D8B"/>
    <w:rsid w:val="00F45D3A"/>
    <w:rsid w:val="00F500B0"/>
    <w:rsid w:val="00F53220"/>
    <w:rsid w:val="00F54D66"/>
    <w:rsid w:val="00F71909"/>
    <w:rsid w:val="00F71C99"/>
    <w:rsid w:val="00F72B19"/>
    <w:rsid w:val="00F8072C"/>
    <w:rsid w:val="00F95C76"/>
    <w:rsid w:val="00F966B1"/>
    <w:rsid w:val="00FA6CCB"/>
    <w:rsid w:val="00FB0593"/>
    <w:rsid w:val="00FB2A55"/>
    <w:rsid w:val="00FB3910"/>
    <w:rsid w:val="00FC1C09"/>
    <w:rsid w:val="00FC44BF"/>
    <w:rsid w:val="00FD18CB"/>
    <w:rsid w:val="00FE2A76"/>
    <w:rsid w:val="00FE6ED2"/>
    <w:rsid w:val="00FE7B97"/>
    <w:rsid w:val="00FF206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940"/>
  <w15:docId w15:val="{2B1C56CB-008C-48CB-9FD7-C05603B2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9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9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F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0BD4"/>
    <w:pPr>
      <w:ind w:left="720"/>
      <w:contextualSpacing/>
    </w:pPr>
  </w:style>
  <w:style w:type="table" w:styleId="TableGrid">
    <w:name w:val="Table Grid"/>
    <w:basedOn w:val="TableNormal"/>
    <w:uiPriority w:val="59"/>
    <w:rsid w:val="00CE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solidFill>
                <a:schemeClr val="accent1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8.0321234341312123E-3"/>
                  <c:y val="-1.5649456125948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88D-4C5D-9372-272359B7EC14}"/>
                </c:ext>
              </c:extLst>
            </c:dLbl>
            <c:dLbl>
              <c:idx val="1"/>
              <c:layout>
                <c:manualLayout>
                  <c:x val="1.4056224899598393E-2"/>
                  <c:y val="-1.5648943866364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88D-4C5D-9372-272359B7EC14}"/>
                </c:ext>
              </c:extLst>
            </c:dLbl>
            <c:dLbl>
              <c:idx val="2"/>
              <c:layout>
                <c:manualLayout>
                  <c:x val="1.4056216009729547E-2"/>
                  <c:y val="-2.1909238576328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88D-4C5D-9372-272359B7EC14}"/>
                </c:ext>
              </c:extLst>
            </c:dLbl>
            <c:dLbl>
              <c:idx val="3"/>
              <c:layout>
                <c:manualLayout>
                  <c:x val="1.0040154292664015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88D-4C5D-9372-272359B7EC14}"/>
                </c:ext>
              </c:extLst>
            </c:dLbl>
            <c:dLbl>
              <c:idx val="4"/>
              <c:layout>
                <c:manualLayout>
                  <c:x val="1.4056224899598393E-2"/>
                  <c:y val="-1.8778831234294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88D-4C5D-9372-272359B7EC14}"/>
                </c:ext>
              </c:extLst>
            </c:dLbl>
            <c:dLbl>
              <c:idx val="5"/>
              <c:layout>
                <c:manualLayout>
                  <c:x val="1.0040160642570281E-2"/>
                  <c:y val="-9.38818318394188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88D-4C5D-9372-272359B7EC14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8321936</c:v>
                </c:pt>
                <c:pt idx="1">
                  <c:v>199084</c:v>
                </c:pt>
                <c:pt idx="2">
                  <c:v>4863544</c:v>
                </c:pt>
                <c:pt idx="3">
                  <c:v>3569770</c:v>
                </c:pt>
                <c:pt idx="4">
                  <c:v>183798</c:v>
                </c:pt>
                <c:pt idx="5">
                  <c:v>92772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88D-4C5D-9372-272359B7EC1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chemeClr val="accent6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1.8072277726795226E-2"/>
                  <c:y val="-2.1909238576328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88D-4C5D-9372-272359B7EC14}"/>
                </c:ext>
              </c:extLst>
            </c:dLbl>
            <c:dLbl>
              <c:idx val="1"/>
              <c:layout>
                <c:manualLayout>
                  <c:x val="1.6064257028112448E-2"/>
                  <c:y val="-1.8779324207576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88D-4C5D-9372-272359B7EC14}"/>
                </c:ext>
              </c:extLst>
            </c:dLbl>
            <c:dLbl>
              <c:idx val="2"/>
              <c:layout>
                <c:manualLayout>
                  <c:x val="1.8072277726795153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88D-4C5D-9372-272359B7EC14}"/>
                </c:ext>
              </c:extLst>
            </c:dLbl>
            <c:dLbl>
              <c:idx val="3"/>
              <c:layout>
                <c:manualLayout>
                  <c:x val="1.8072289156626505E-2"/>
                  <c:y val="-1.5647957919800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88D-4C5D-9372-272359B7EC14}"/>
                </c:ext>
              </c:extLst>
            </c:dLbl>
            <c:dLbl>
              <c:idx val="4"/>
              <c:layout>
                <c:manualLayout>
                  <c:x val="1.4056216009729621E-2"/>
                  <c:y val="-1.251956490075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88D-4C5D-9372-272359B7EC14}"/>
                </c:ext>
              </c:extLst>
            </c:dLbl>
            <c:dLbl>
              <c:idx val="5"/>
              <c:layout>
                <c:manualLayout>
                  <c:x val="1.6064246868262275E-2"/>
                  <c:y val="-1.251956490075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88D-4C5D-9372-272359B7EC14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2116788</c:v>
                </c:pt>
                <c:pt idx="1">
                  <c:v>4318</c:v>
                </c:pt>
                <c:pt idx="2">
                  <c:v>2161581</c:v>
                </c:pt>
                <c:pt idx="3">
                  <c:v>361102</c:v>
                </c:pt>
                <c:pt idx="4">
                  <c:v>32339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88D-4C5D-9372-272359B7EC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5"/>
        <c:gapDepth val="0"/>
        <c:shape val="box"/>
        <c:axId val="76785152"/>
        <c:axId val="76786688"/>
        <c:axId val="0"/>
      </c:bar3DChart>
      <c:catAx>
        <c:axId val="76785152"/>
        <c:scaling>
          <c:orientation val="minMax"/>
        </c:scaling>
        <c:delete val="0"/>
        <c:axPos val="b"/>
        <c:numFmt formatCode="###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76786688"/>
        <c:crossesAt val="0"/>
        <c:auto val="0"/>
        <c:lblAlgn val="ctr"/>
        <c:lblOffset val="100"/>
        <c:noMultiLvlLbl val="0"/>
      </c:catAx>
      <c:valAx>
        <c:axId val="7678668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crossAx val="76785152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  <a:p>
                  <a:pPr>
                    <a:defRPr/>
                  </a:pPr>
                  <a:endParaRPr lang="hr-HR"/>
                </a:p>
              </c:rich>
            </c:tx>
          </c:dispUnitsLbl>
        </c:dispUnits>
      </c:valAx>
    </c:plotArea>
    <c:legend>
      <c:legendPos val="t"/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en-US" sz="1200" i="1"/>
              <a:t>UKUPNI PRIHODI </a:t>
            </a:r>
            <a:r>
              <a:rPr lang="hr-HR" sz="1200" i="1"/>
              <a:t>I PRIMICI </a:t>
            </a:r>
            <a:r>
              <a:rPr lang="en-US" sz="1200" i="1"/>
              <a:t>PRORAČUNA</a:t>
            </a:r>
            <a:r>
              <a:rPr lang="hr-HR" sz="1200" i="1"/>
              <a:t> PO SKUPINAMA</a:t>
            </a:r>
            <a:endParaRPr lang="en-US" sz="1200" i="1"/>
          </a:p>
        </c:rich>
      </c:tx>
      <c:overlay val="0"/>
    </c:title>
    <c:autoTitleDeleted val="0"/>
    <c:view3D>
      <c:rotX val="30"/>
      <c:rotY val="191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solidFill>
                <a:schemeClr val="accent1"/>
              </a:solidFill>
            </a:ln>
            <a:effectLst>
              <a:outerShdw blurRad="469900" dist="533400" dir="14400000" sx="115000" sy="115000" rotWithShape="0">
                <a:schemeClr val="tx1">
                  <a:lumMod val="95000"/>
                  <a:lumOff val="5000"/>
                  <a:alpha val="20000"/>
                </a:schemeClr>
              </a:outerShdw>
            </a:effectLst>
          </c:spPr>
          <c:explosion val="13"/>
          <c:dLbls>
            <c:dLbl>
              <c:idx val="0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0-1175-46FC-9970-1F9A6221452A}"/>
                </c:ext>
              </c:extLst>
            </c:dLbl>
            <c:dLbl>
              <c:idx val="1"/>
              <c:layout>
                <c:manualLayout>
                  <c:x val="-4.9666749665130398E-2"/>
                  <c:y val="1.2883166279153041E-2"/>
                </c:manualLayout>
              </c:layout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75-46FC-9970-1F9A6221452A}"/>
                </c:ext>
              </c:extLst>
            </c:dLbl>
            <c:dLbl>
              <c:idx val="2"/>
              <c:spPr>
                <a:noFill/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1175-46FC-9970-1F9A6221452A}"/>
                </c:ext>
              </c:extLst>
            </c:dLbl>
            <c:dLbl>
              <c:idx val="3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1175-46FC-9970-1F9A6221452A}"/>
                </c:ext>
              </c:extLst>
            </c:dLbl>
            <c:dLbl>
              <c:idx val="4"/>
              <c:layout>
                <c:manualLayout>
                  <c:x val="9.6960875869161155E-3"/>
                  <c:y val="-0.17771803338478478"/>
                </c:manualLayout>
              </c:layout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175-46FC-9970-1F9A6221452A}"/>
                </c:ext>
              </c:extLst>
            </c:dLbl>
            <c:dLbl>
              <c:idx val="5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1175-46FC-9970-1F9A6221452A}"/>
                </c:ext>
              </c:extLst>
            </c:dLbl>
            <c:dLbl>
              <c:idx val="6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1175-46FC-9970-1F9A6221452A}"/>
                </c:ext>
              </c:extLst>
            </c:dLbl>
            <c:dLbl>
              <c:idx val="7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1175-46FC-9970-1F9A6221452A}"/>
                </c:ext>
              </c:extLst>
            </c:dLbl>
            <c:spPr>
              <a:effectLst>
                <a:innerShdw blurRad="63500" dist="50800" dir="81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B/>
              </a:sp3d>
            </c:spPr>
            <c:txPr>
              <a:bodyPr/>
              <a:lstStyle/>
              <a:p>
                <a:pPr>
                  <a:defRPr b="0">
                    <a:solidFill>
                      <a:schemeClr val="accent2">
                        <a:lumMod val="20000"/>
                        <a:lumOff val="80000"/>
                      </a:schemeClr>
                    </a:solidFill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prodaje, usluga i donacija</c:v>
                </c:pt>
                <c:pt idx="5">
                  <c:v>Kazne i ostali prihodi</c:v>
                </c:pt>
                <c:pt idx="6">
                  <c:v>Prihodi od prodaje nefin.imovine</c:v>
                </c:pt>
                <c:pt idx="7">
                  <c:v>Primici od zaduživanja</c:v>
                </c:pt>
              </c:strCache>
            </c:strRef>
          </c:cat>
          <c:val>
            <c:numRef>
              <c:f>Sheet3!$B$1:$B$8</c:f>
              <c:numCache>
                <c:formatCode>General</c:formatCode>
                <c:ptCount val="8"/>
                <c:pt idx="0">
                  <c:v>1309523</c:v>
                </c:pt>
                <c:pt idx="1">
                  <c:v>132948</c:v>
                </c:pt>
                <c:pt idx="2">
                  <c:v>201801</c:v>
                </c:pt>
                <c:pt idx="3">
                  <c:v>408652</c:v>
                </c:pt>
                <c:pt idx="4">
                  <c:v>56172</c:v>
                </c:pt>
                <c:pt idx="5">
                  <c:v>7692</c:v>
                </c:pt>
                <c:pt idx="6">
                  <c:v>4318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175-46FC-9970-1F9A6221452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>
            <a:defRPr sz="900" b="1" i="1"/>
          </a:pPr>
          <a:endParaRPr lang="sr-Latn-RS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i="1"/>
            </a:pPr>
            <a:r>
              <a:rPr lang="en-US" sz="1200" i="1"/>
              <a:t>PLANIRANI I OSTVARENI VLASTITI PRIHODI USTANOVA</a:t>
            </a:r>
            <a:endParaRPr lang="hr-HR" sz="1200" i="1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Sheet5!$B$2:$B$6</c:f>
              <c:numCache>
                <c:formatCode>General</c:formatCode>
                <c:ptCount val="5"/>
                <c:pt idx="0">
                  <c:v>42493</c:v>
                </c:pt>
                <c:pt idx="1">
                  <c:v>41940</c:v>
                </c:pt>
                <c:pt idx="2">
                  <c:v>144909</c:v>
                </c:pt>
                <c:pt idx="3">
                  <c:v>45059</c:v>
                </c:pt>
                <c:pt idx="4">
                  <c:v>33850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CB-4C10-AA20-FEC1D57BC5B3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cmpd="sng"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Sheet5!$C$2:$C$6</c:f>
              <c:numCache>
                <c:formatCode>General</c:formatCode>
                <c:ptCount val="5"/>
                <c:pt idx="0">
                  <c:v>16534</c:v>
                </c:pt>
                <c:pt idx="1">
                  <c:v>18119</c:v>
                </c:pt>
                <c:pt idx="2">
                  <c:v>68588</c:v>
                </c:pt>
                <c:pt idx="3">
                  <c:v>11980</c:v>
                </c:pt>
                <c:pt idx="4">
                  <c:v>19247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CB-4C10-AA20-FEC1D57BC5B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overlap val="8"/>
        <c:axId val="77315456"/>
        <c:axId val="77325440"/>
      </c:barChart>
      <c:catAx>
        <c:axId val="773154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/>
            </a:pPr>
            <a:endParaRPr lang="sr-Latn-RS"/>
          </a:p>
        </c:txPr>
        <c:crossAx val="77325440"/>
        <c:crosses val="autoZero"/>
        <c:auto val="1"/>
        <c:lblAlgn val="ctr"/>
        <c:lblOffset val="100"/>
        <c:noMultiLvlLbl val="0"/>
      </c:catAx>
      <c:valAx>
        <c:axId val="77325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315456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</c:rich>
            </c:tx>
          </c:dispUnitsLbl>
        </c:dispUnits>
      </c:valAx>
      <c:spPr>
        <a:noFill/>
        <a:ln>
          <a:noFill/>
        </a:ln>
      </c:spPr>
    </c:plotArea>
    <c:legend>
      <c:legendPos val="b"/>
      <c:overlay val="0"/>
      <c:txPr>
        <a:bodyPr/>
        <a:lstStyle/>
        <a:p>
          <a:pPr>
            <a:defRPr b="1" i="1"/>
          </a:pPr>
          <a:endParaRPr lang="sr-Latn-RS"/>
        </a:p>
      </c:txPr>
    </c:legend>
    <c:plotVisOnly val="1"/>
    <c:dispBlanksAs val="gap"/>
    <c:showDLblsOverMax val="0"/>
  </c:chart>
  <c:spPr>
    <a:ln w="76200"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en-US" sz="1200" i="1"/>
              <a:t>RASHODI I IZDACI PO KORISNICIMA</a:t>
            </a:r>
            <a:r>
              <a:rPr lang="hr-HR" sz="1200" i="1"/>
              <a:t> PRORAČUNA</a:t>
            </a:r>
            <a:endParaRPr lang="en-US" sz="1200" i="1"/>
          </a:p>
        </c:rich>
      </c:tx>
      <c:overlay val="0"/>
      <c:spPr>
        <a:noFill/>
        <a:ln w="25400">
          <a:noFill/>
        </a:ln>
      </c:spPr>
    </c:title>
    <c:autoTitleDeleted val="0"/>
    <c:view3D>
      <c:rotX val="30"/>
      <c:rotY val="197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853535353535359E-2"/>
          <c:y val="0.20202396218616531"/>
          <c:w val="0.81944444444444453"/>
          <c:h val="0.6954263462170267"/>
        </c:manualLayout>
      </c:layout>
      <c:pie3DChart>
        <c:varyColors val="1"/>
        <c:ser>
          <c:idx val="0"/>
          <c:order val="0"/>
          <c:explosion val="13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CE2-4BBB-81D5-7A733DAA3DD9}"/>
              </c:ext>
            </c:extLst>
          </c:dPt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1">
                      <a:solidFill>
                        <a:srgbClr val="002060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DCE2-4BBB-81D5-7A733DAA3DD9}"/>
                </c:ext>
              </c:extLst>
            </c:dLbl>
            <c:dLbl>
              <c:idx val="1"/>
              <c:layout>
                <c:manualLayout>
                  <c:x val="-6.2328600970333256E-2"/>
                  <c:y val="-7.6577519420922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E2-4BBB-81D5-7A733DAA3DD9}"/>
                </c:ext>
              </c:extLst>
            </c:dLbl>
            <c:dLbl>
              <c:idx val="2"/>
              <c:layout>
                <c:manualLayout>
                  <c:x val="-4.3235504652827488E-3"/>
                  <c:y val="-9.827139215956429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E2-4BBB-81D5-7A733DAA3DD9}"/>
                </c:ext>
              </c:extLst>
            </c:dLbl>
            <c:dLbl>
              <c:idx val="3"/>
              <c:layout>
                <c:manualLayout>
                  <c:x val="-0.10626998329754245"/>
                  <c:y val="-0.13980712877687937"/>
                </c:manualLayout>
              </c:layout>
              <c:tx>
                <c:rich>
                  <a:bodyPr/>
                  <a:lstStyle/>
                  <a:p>
                    <a:pPr>
                      <a:defRPr b="1" i="1">
                        <a:solidFill>
                          <a:schemeClr val="bg2"/>
                        </a:solidFill>
                      </a:defRPr>
                    </a:pPr>
                    <a:r>
                      <a:rPr lang="en-US" b="1" i="1">
                        <a:solidFill>
                          <a:schemeClr val="bg2"/>
                        </a:solidFill>
                      </a:rPr>
                      <a:t>Vrtić
9%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CE2-4BBB-81D5-7A733DAA3DD9}"/>
                </c:ext>
              </c:extLst>
            </c:dLbl>
            <c:dLbl>
              <c:idx val="4"/>
              <c:layout>
                <c:manualLayout>
                  <c:x val="-1.0629722421061003E-2"/>
                  <c:y val="-2.80307672941807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CZK
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CE2-4BBB-81D5-7A733DAA3DD9}"/>
                </c:ext>
              </c:extLst>
            </c:dLbl>
            <c:dLbl>
              <c:idx val="5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b="1" i="1">
                      <a:solidFill>
                        <a:schemeClr val="bg2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DCE2-4BBB-81D5-7A733DAA3DD9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 i="1">
                    <a:solidFill>
                      <a:schemeClr val="accent4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Sheet4!$A$2:$A$7</c:f>
              <c:strCache>
                <c:ptCount val="6"/>
                <c:pt idx="0">
                  <c:v>Grad</c:v>
                </c:pt>
                <c:pt idx="1">
                  <c:v>Muzej</c:v>
                </c:pt>
                <c:pt idx="2">
                  <c:v>Knjižnica</c:v>
                </c:pt>
                <c:pt idx="3">
                  <c:v>Vrtić</c:v>
                </c:pt>
                <c:pt idx="4">
                  <c:v>CZKK</c:v>
                </c:pt>
                <c:pt idx="5">
                  <c:v>ŠOK</c:v>
                </c:pt>
              </c:strCache>
            </c:strRef>
          </c:cat>
          <c:val>
            <c:numRef>
              <c:f>Sheet4!$B$2:$B$7</c:f>
              <c:numCache>
                <c:formatCode>_(* #,##0.00_);_(* \(#,##0.00\);_(* "-"??_);_(@_)</c:formatCode>
                <c:ptCount val="6"/>
                <c:pt idx="0">
                  <c:v>1730420</c:v>
                </c:pt>
                <c:pt idx="1">
                  <c:v>74324</c:v>
                </c:pt>
                <c:pt idx="2">
                  <c:v>74098</c:v>
                </c:pt>
                <c:pt idx="3">
                  <c:v>351761</c:v>
                </c:pt>
                <c:pt idx="4">
                  <c:v>92663</c:v>
                </c:pt>
                <c:pt idx="5">
                  <c:v>231755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CE2-4BBB-81D5-7A733DAA3DD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hr-HR"/>
              <a:t>PLANIRANI I IZVRŠENI RASHODI USTANOVA</a:t>
            </a:r>
          </a:p>
        </c:rich>
      </c:tx>
      <c:layout>
        <c:manualLayout>
          <c:xMode val="edge"/>
          <c:yMode val="edge"/>
          <c:x val="0.25889967637540506"/>
          <c:y val="3.274559193954659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79611650485452"/>
          <c:y val="0.19395465994962216"/>
          <c:w val="0.74433656957928807"/>
          <c:h val="0.647355163727958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solidFill>
                <a:schemeClr val="accent6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F2-484E-8B48-0D2F9CFE8090}"/>
                </c:ext>
              </c:extLst>
            </c:dLbl>
            <c:dLbl>
              <c:idx val="1"/>
              <c:layout>
                <c:manualLayout>
                  <c:x val="4.3149946062567383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F2-484E-8B48-0D2F9CFE8090}"/>
                </c:ext>
              </c:extLst>
            </c:dLbl>
            <c:dLbl>
              <c:idx val="2"/>
              <c:layout>
                <c:manualLayout>
                  <c:x val="4.3149946062567383E-3"/>
                  <c:y val="-1.0075566750629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F2-484E-8B48-0D2F9CFE8090}"/>
                </c:ext>
              </c:extLst>
            </c:dLbl>
            <c:dLbl>
              <c:idx val="3"/>
              <c:layout>
                <c:manualLayout>
                  <c:x val="4.3149946062567383E-3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F2-484E-8B48-0D2F9CFE8090}"/>
                </c:ext>
              </c:extLst>
            </c:dLbl>
            <c:dLbl>
              <c:idx val="4"/>
              <c:layout>
                <c:manualLayout>
                  <c:x val="4.3149946062568199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F2-484E-8B48-0D2F9CFE8090}"/>
                </c:ext>
              </c:extLst>
            </c:dLbl>
            <c:numFmt formatCode="0" sourceLinked="0"/>
            <c:spPr>
              <a:noFill/>
              <a:ln w="25400">
                <a:noFill/>
              </a:ln>
              <a:effectLst>
                <a:outerShdw dir="8400000" sx="1000" sy="1000" algn="ctr" rotWithShape="0">
                  <a:srgbClr val="000000">
                    <a:alpha val="1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194375</c:v>
                </c:pt>
                <c:pt idx="1">
                  <c:v>185945</c:v>
                </c:pt>
                <c:pt idx="2">
                  <c:v>670363</c:v>
                </c:pt>
                <c:pt idx="3">
                  <c:v>182095</c:v>
                </c:pt>
                <c:pt idx="4">
                  <c:v>437850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4F2-484E-8B48-0D2F9CFE809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1.2944983818770227E-2"/>
                  <c:y val="-1.6792611251049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F2-484E-8B48-0D2F9CFE8090}"/>
                </c:ext>
              </c:extLst>
            </c:dLbl>
            <c:dLbl>
              <c:idx val="1"/>
              <c:layout>
                <c:manualLayout>
                  <c:x val="1.0787486515641894E-2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F2-484E-8B48-0D2F9CFE8090}"/>
                </c:ext>
              </c:extLst>
            </c:dLbl>
            <c:dLbl>
              <c:idx val="2"/>
              <c:layout>
                <c:manualLayout>
                  <c:x val="1.7259978425026964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4F2-484E-8B48-0D2F9CFE8090}"/>
                </c:ext>
              </c:extLst>
            </c:dLbl>
            <c:dLbl>
              <c:idx val="3"/>
              <c:layout>
                <c:manualLayout>
                  <c:x val="1.2944983818770227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4F2-484E-8B48-0D2F9CFE8090}"/>
                </c:ext>
              </c:extLst>
            </c:dLbl>
            <c:dLbl>
              <c:idx val="4"/>
              <c:layout>
                <c:manualLayout>
                  <c:x val="1.51024811218986E-2"/>
                  <c:y val="-6.7173089509907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4F2-484E-8B48-0D2F9CFE8090}"/>
                </c:ext>
              </c:extLst>
            </c:dLbl>
            <c:numFmt formatCode="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 i="1">
                    <a:solidFill>
                      <a:sysClr val="windowText" lastClr="000000"/>
                    </a:solidFill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74324</c:v>
                </c:pt>
                <c:pt idx="1">
                  <c:v>74098</c:v>
                </c:pt>
                <c:pt idx="2">
                  <c:v>351761</c:v>
                </c:pt>
                <c:pt idx="3">
                  <c:v>92663</c:v>
                </c:pt>
                <c:pt idx="4">
                  <c:v>231755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4F2-484E-8B48-0D2F9CFE80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6"/>
        <c:gapDepth val="62"/>
        <c:shape val="cylinder"/>
        <c:axId val="77042816"/>
        <c:axId val="77044352"/>
        <c:axId val="0"/>
      </c:bar3DChart>
      <c:catAx>
        <c:axId val="7704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77044352"/>
        <c:crosses val="autoZero"/>
        <c:auto val="1"/>
        <c:lblAlgn val="ctr"/>
        <c:lblOffset val="100"/>
        <c:noMultiLvlLbl val="0"/>
      </c:catAx>
      <c:valAx>
        <c:axId val="77044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77042816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en-US"/>
                    <a:t>Tisuće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89320388349514"/>
          <c:y val="0.48614609571788492"/>
          <c:w val="0.12730202414018635"/>
          <c:h val="0.1214637339098356"/>
        </c:manualLayout>
      </c:layout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21016</TotalTime>
  <Pages>8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btomic</dc:creator>
  <cp:lastModifiedBy>Bernarda Tomić</cp:lastModifiedBy>
  <cp:revision>135</cp:revision>
  <cp:lastPrinted>2022-10-05T12:39:00Z</cp:lastPrinted>
  <dcterms:created xsi:type="dcterms:W3CDTF">2019-08-26T06:52:00Z</dcterms:created>
  <dcterms:modified xsi:type="dcterms:W3CDTF">2023-09-19T08:28:00Z</dcterms:modified>
</cp:coreProperties>
</file>