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1A8CF" w14:textId="2935FC18" w:rsidR="0050049F" w:rsidRDefault="00760997" w:rsidP="00760997">
      <w:pPr>
        <w:rPr>
          <w:rFonts w:ascii="Arial" w:hAnsi="Arial" w:cs="Arial"/>
          <w:b/>
          <w:i/>
          <w:u w:val="single"/>
        </w:rPr>
      </w:pPr>
      <w:r w:rsidRPr="00976D1A">
        <w:rPr>
          <w:rFonts w:ascii="Arial" w:hAnsi="Arial" w:cs="Arial"/>
          <w:b/>
          <w:i/>
          <w:u w:val="single"/>
        </w:rPr>
        <w:t>Obrazloženje ostvarenja prihoda i primitaka, rashoda i izdataka</w:t>
      </w:r>
    </w:p>
    <w:p w14:paraId="6ACF40C4" w14:textId="77777777" w:rsidR="00B403F1" w:rsidRDefault="00B403F1" w:rsidP="00760997">
      <w:pPr>
        <w:rPr>
          <w:rFonts w:ascii="Arial" w:hAnsi="Arial" w:cs="Arial"/>
          <w:b/>
          <w:i/>
          <w:u w:val="single"/>
        </w:rPr>
      </w:pPr>
    </w:p>
    <w:p w14:paraId="1714ED8D" w14:textId="5958F5D9" w:rsidR="0071572F" w:rsidRDefault="00B403F1" w:rsidP="00760997">
      <w:pPr>
        <w:rPr>
          <w:rFonts w:ascii="Arial" w:hAnsi="Arial" w:cs="Arial"/>
          <w:b/>
          <w:i/>
          <w:u w:val="single"/>
        </w:rPr>
      </w:pPr>
      <w:r>
        <w:rPr>
          <w:noProof/>
        </w:rPr>
        <w:drawing>
          <wp:inline distT="0" distB="0" distL="0" distR="0" wp14:anchorId="44DC62F8" wp14:editId="55CD9577">
            <wp:extent cx="6324604" cy="4057649"/>
            <wp:effectExtent l="0" t="0" r="0" b="635"/>
            <wp:docPr id="6436283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3CA6508" w14:textId="77777777" w:rsidR="00636131" w:rsidRDefault="00636131" w:rsidP="00760997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08AE013B" w14:textId="77777777" w:rsidR="00636131" w:rsidRDefault="00636131" w:rsidP="00760997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192C033C" w14:textId="4692CC22" w:rsidR="00760997" w:rsidRPr="00D07C28" w:rsidRDefault="00760997" w:rsidP="00760997">
      <w:pPr>
        <w:rPr>
          <w:rFonts w:ascii="Arial" w:hAnsi="Arial" w:cs="Arial"/>
          <w:sz w:val="20"/>
          <w:szCs w:val="20"/>
        </w:rPr>
      </w:pPr>
      <w:r w:rsidRPr="00250FF3">
        <w:rPr>
          <w:rFonts w:ascii="Arial" w:hAnsi="Arial" w:cs="Arial"/>
          <w:b/>
          <w:i/>
          <w:sz w:val="20"/>
          <w:szCs w:val="20"/>
          <w:u w:val="single"/>
        </w:rPr>
        <w:t>O prihodima i primicima</w:t>
      </w:r>
      <w:r w:rsidRPr="00D07C28">
        <w:rPr>
          <w:rFonts w:ascii="Arial" w:hAnsi="Arial" w:cs="Arial"/>
          <w:b/>
          <w:sz w:val="20"/>
          <w:szCs w:val="20"/>
        </w:rPr>
        <w:t>:</w:t>
      </w:r>
      <w:r w:rsidRPr="00D07C28">
        <w:rPr>
          <w:rFonts w:ascii="Arial" w:hAnsi="Arial" w:cs="Arial"/>
          <w:sz w:val="20"/>
          <w:szCs w:val="20"/>
        </w:rPr>
        <w:t xml:space="preserve"> </w:t>
      </w:r>
    </w:p>
    <w:p w14:paraId="1D4D1E39" w14:textId="3B4CB262" w:rsidR="00C532E3" w:rsidRPr="000268B5" w:rsidRDefault="00760997" w:rsidP="00760997">
      <w:pPr>
        <w:jc w:val="both"/>
        <w:rPr>
          <w:rFonts w:ascii="Arial" w:hAnsi="Arial" w:cs="Arial"/>
          <w:sz w:val="18"/>
          <w:szCs w:val="18"/>
        </w:rPr>
      </w:pPr>
      <w:r w:rsidRPr="00F817DE">
        <w:rPr>
          <w:rFonts w:ascii="Arial" w:hAnsi="Arial" w:cs="Arial"/>
          <w:sz w:val="18"/>
          <w:szCs w:val="18"/>
        </w:rPr>
        <w:t xml:space="preserve">U ovom </w:t>
      </w:r>
      <w:r w:rsidR="00036AC9" w:rsidRPr="00F817DE">
        <w:rPr>
          <w:rFonts w:ascii="Arial" w:hAnsi="Arial" w:cs="Arial"/>
          <w:sz w:val="18"/>
          <w:szCs w:val="18"/>
        </w:rPr>
        <w:t xml:space="preserve">izvještajnom </w:t>
      </w:r>
      <w:r w:rsidRPr="00F817DE">
        <w:rPr>
          <w:rFonts w:ascii="Arial" w:hAnsi="Arial" w:cs="Arial"/>
          <w:sz w:val="18"/>
          <w:szCs w:val="18"/>
        </w:rPr>
        <w:t xml:space="preserve"> razdoblju</w:t>
      </w:r>
      <w:r w:rsidRPr="0044293B">
        <w:rPr>
          <w:rFonts w:ascii="Arial" w:hAnsi="Arial" w:cs="Arial"/>
          <w:sz w:val="18"/>
          <w:szCs w:val="18"/>
        </w:rPr>
        <w:t xml:space="preserve"> ostvareni su tekući prihodi</w:t>
      </w:r>
      <w:r w:rsidR="003F6EE6" w:rsidRPr="0044293B">
        <w:rPr>
          <w:rFonts w:ascii="Arial" w:hAnsi="Arial" w:cs="Arial"/>
          <w:sz w:val="18"/>
          <w:szCs w:val="18"/>
        </w:rPr>
        <w:t xml:space="preserve"> Proračuna Grada Korčule za 20</w:t>
      </w:r>
      <w:r w:rsidR="00B66239" w:rsidRPr="0044293B">
        <w:rPr>
          <w:rFonts w:ascii="Arial" w:hAnsi="Arial" w:cs="Arial"/>
          <w:sz w:val="18"/>
          <w:szCs w:val="18"/>
        </w:rPr>
        <w:t>2</w:t>
      </w:r>
      <w:r w:rsidR="00E3725E">
        <w:rPr>
          <w:rFonts w:ascii="Arial" w:hAnsi="Arial" w:cs="Arial"/>
          <w:sz w:val="18"/>
          <w:szCs w:val="18"/>
        </w:rPr>
        <w:t>4</w:t>
      </w:r>
      <w:r w:rsidRPr="0044293B">
        <w:rPr>
          <w:rFonts w:ascii="Arial" w:hAnsi="Arial" w:cs="Arial"/>
          <w:sz w:val="18"/>
          <w:szCs w:val="18"/>
        </w:rPr>
        <w:t xml:space="preserve">. godinu (dalje u tekstu: Proračun) u iznosu od  </w:t>
      </w:r>
      <w:r w:rsidR="00E3725E" w:rsidRPr="00E3725E">
        <w:rPr>
          <w:rFonts w:ascii="Arial" w:hAnsi="Arial" w:cs="Arial"/>
          <w:b/>
          <w:bCs/>
          <w:sz w:val="18"/>
          <w:szCs w:val="18"/>
        </w:rPr>
        <w:t>2.604.878,68</w:t>
      </w:r>
      <w:r w:rsidR="002E1181" w:rsidRPr="0044293B">
        <w:rPr>
          <w:rFonts w:ascii="Arial" w:hAnsi="Arial" w:cs="Arial"/>
          <w:sz w:val="18"/>
          <w:szCs w:val="18"/>
        </w:rPr>
        <w:t xml:space="preserve">  ili  </w:t>
      </w:r>
      <w:r w:rsidR="00E3725E">
        <w:rPr>
          <w:rFonts w:ascii="Arial" w:hAnsi="Arial" w:cs="Arial"/>
          <w:sz w:val="18"/>
          <w:szCs w:val="18"/>
        </w:rPr>
        <w:t>19</w:t>
      </w:r>
      <w:r w:rsidR="00B66239" w:rsidRPr="0044293B">
        <w:rPr>
          <w:rFonts w:ascii="Arial" w:hAnsi="Arial" w:cs="Arial"/>
          <w:sz w:val="18"/>
          <w:szCs w:val="18"/>
        </w:rPr>
        <w:t>%  u odnosu na plan</w:t>
      </w:r>
      <w:r w:rsidR="00470816">
        <w:rPr>
          <w:rFonts w:ascii="Arial" w:hAnsi="Arial" w:cs="Arial"/>
          <w:sz w:val="18"/>
          <w:szCs w:val="18"/>
        </w:rPr>
        <w:t>,</w:t>
      </w:r>
      <w:r w:rsidR="00B66239" w:rsidRPr="0044293B">
        <w:rPr>
          <w:rFonts w:ascii="Arial" w:hAnsi="Arial" w:cs="Arial"/>
          <w:sz w:val="18"/>
          <w:szCs w:val="18"/>
        </w:rPr>
        <w:t xml:space="preserve"> a </w:t>
      </w:r>
      <w:r w:rsidR="00E3725E">
        <w:rPr>
          <w:rFonts w:ascii="Arial" w:hAnsi="Arial" w:cs="Arial"/>
          <w:sz w:val="18"/>
          <w:szCs w:val="18"/>
        </w:rPr>
        <w:t>24</w:t>
      </w:r>
      <w:r w:rsidRPr="0044293B">
        <w:rPr>
          <w:rFonts w:ascii="Arial" w:hAnsi="Arial" w:cs="Arial"/>
          <w:sz w:val="18"/>
          <w:szCs w:val="18"/>
        </w:rPr>
        <w:t xml:space="preserve">% </w:t>
      </w:r>
      <w:r w:rsidR="00E3725E">
        <w:rPr>
          <w:rFonts w:ascii="Arial" w:hAnsi="Arial" w:cs="Arial"/>
          <w:sz w:val="18"/>
          <w:szCs w:val="18"/>
        </w:rPr>
        <w:t>više</w:t>
      </w:r>
      <w:r w:rsidRPr="0044293B">
        <w:rPr>
          <w:rFonts w:ascii="Arial" w:hAnsi="Arial" w:cs="Arial"/>
          <w:sz w:val="18"/>
          <w:szCs w:val="18"/>
        </w:rPr>
        <w:t xml:space="preserve">  nego u istom razdoblju 20</w:t>
      </w:r>
      <w:r w:rsidR="0055159B" w:rsidRPr="0044293B">
        <w:rPr>
          <w:rFonts w:ascii="Arial" w:hAnsi="Arial" w:cs="Arial"/>
          <w:sz w:val="18"/>
          <w:szCs w:val="18"/>
        </w:rPr>
        <w:t>2</w:t>
      </w:r>
      <w:r w:rsidR="00E3725E">
        <w:rPr>
          <w:rFonts w:ascii="Arial" w:hAnsi="Arial" w:cs="Arial"/>
          <w:sz w:val="18"/>
          <w:szCs w:val="18"/>
        </w:rPr>
        <w:t>3</w:t>
      </w:r>
      <w:r w:rsidRPr="0044293B">
        <w:rPr>
          <w:rFonts w:ascii="Arial" w:hAnsi="Arial" w:cs="Arial"/>
          <w:sz w:val="18"/>
          <w:szCs w:val="18"/>
        </w:rPr>
        <w:t>. godine</w:t>
      </w:r>
      <w:r w:rsidRPr="007B788A">
        <w:rPr>
          <w:rFonts w:ascii="Arial" w:hAnsi="Arial" w:cs="Arial"/>
          <w:sz w:val="18"/>
          <w:szCs w:val="18"/>
        </w:rPr>
        <w:t xml:space="preserve">. </w:t>
      </w:r>
      <w:r w:rsidRPr="005E46C1">
        <w:rPr>
          <w:rFonts w:ascii="Arial" w:hAnsi="Arial" w:cs="Arial"/>
          <w:sz w:val="18"/>
          <w:szCs w:val="18"/>
        </w:rPr>
        <w:t>Ukoliko iz razmatranja</w:t>
      </w:r>
      <w:r w:rsidRPr="000268B5">
        <w:rPr>
          <w:rFonts w:ascii="Arial" w:hAnsi="Arial" w:cs="Arial"/>
          <w:sz w:val="18"/>
          <w:szCs w:val="18"/>
        </w:rPr>
        <w:t xml:space="preserve"> izuzmemo ukupne prihode korisnika Proračuna</w:t>
      </w:r>
      <w:r w:rsidR="00FD18CB">
        <w:rPr>
          <w:rFonts w:ascii="Arial" w:hAnsi="Arial" w:cs="Arial"/>
          <w:sz w:val="18"/>
          <w:szCs w:val="18"/>
        </w:rPr>
        <w:t xml:space="preserve"> u iznosu od </w:t>
      </w:r>
      <w:r w:rsidR="005E46C1">
        <w:rPr>
          <w:rFonts w:ascii="Arial" w:hAnsi="Arial" w:cs="Arial"/>
          <w:sz w:val="18"/>
          <w:szCs w:val="18"/>
        </w:rPr>
        <w:t>213.314,83</w:t>
      </w:r>
      <w:r w:rsidRPr="000268B5">
        <w:rPr>
          <w:rFonts w:ascii="Arial" w:hAnsi="Arial" w:cs="Arial"/>
          <w:sz w:val="18"/>
          <w:szCs w:val="18"/>
        </w:rPr>
        <w:t xml:space="preserve">, ostvareni su prihodi Proračuna  od </w:t>
      </w:r>
      <w:r w:rsidR="005E46C1">
        <w:rPr>
          <w:rFonts w:ascii="Arial" w:hAnsi="Arial" w:cs="Arial"/>
          <w:sz w:val="18"/>
          <w:szCs w:val="18"/>
        </w:rPr>
        <w:t>2.391.563,85</w:t>
      </w:r>
      <w:r w:rsidRPr="000268B5">
        <w:rPr>
          <w:rFonts w:ascii="Arial" w:hAnsi="Arial" w:cs="Arial"/>
          <w:sz w:val="18"/>
          <w:szCs w:val="18"/>
        </w:rPr>
        <w:t xml:space="preserve"> ili </w:t>
      </w:r>
      <w:r w:rsidR="00AB76BE" w:rsidRPr="00AB76BE">
        <w:rPr>
          <w:rFonts w:ascii="Arial" w:hAnsi="Arial" w:cs="Arial"/>
          <w:sz w:val="18"/>
          <w:szCs w:val="18"/>
        </w:rPr>
        <w:t>19</w:t>
      </w:r>
      <w:r w:rsidR="00170CAB" w:rsidRPr="00AB76BE">
        <w:rPr>
          <w:rFonts w:ascii="Arial" w:hAnsi="Arial" w:cs="Arial"/>
          <w:sz w:val="18"/>
          <w:szCs w:val="18"/>
        </w:rPr>
        <w:t>%</w:t>
      </w:r>
      <w:r w:rsidRPr="000268B5">
        <w:rPr>
          <w:rFonts w:ascii="Arial" w:hAnsi="Arial" w:cs="Arial"/>
          <w:sz w:val="18"/>
          <w:szCs w:val="18"/>
        </w:rPr>
        <w:t xml:space="preserve"> od planiranog</w:t>
      </w:r>
      <w:r w:rsidR="000268B5" w:rsidRPr="000268B5">
        <w:rPr>
          <w:rFonts w:ascii="Arial" w:hAnsi="Arial" w:cs="Arial"/>
          <w:sz w:val="18"/>
          <w:szCs w:val="18"/>
        </w:rPr>
        <w:t>,</w:t>
      </w:r>
      <w:r w:rsidRPr="000268B5">
        <w:rPr>
          <w:rFonts w:ascii="Arial" w:hAnsi="Arial" w:cs="Arial"/>
          <w:sz w:val="18"/>
          <w:szCs w:val="18"/>
        </w:rPr>
        <w:t xml:space="preserve"> a ukoliko izuzmemo  još i pomoći (skupina 63)</w:t>
      </w:r>
      <w:r w:rsidR="00FD18CB">
        <w:rPr>
          <w:rFonts w:ascii="Arial" w:hAnsi="Arial" w:cs="Arial"/>
          <w:sz w:val="18"/>
          <w:szCs w:val="18"/>
        </w:rPr>
        <w:t xml:space="preserve"> u iznosu od </w:t>
      </w:r>
      <w:r w:rsidR="005E46C1">
        <w:rPr>
          <w:rFonts w:ascii="Arial" w:hAnsi="Arial" w:cs="Arial"/>
          <w:sz w:val="18"/>
          <w:szCs w:val="18"/>
        </w:rPr>
        <w:t>349.355,37</w:t>
      </w:r>
      <w:r w:rsidRPr="000268B5">
        <w:rPr>
          <w:rFonts w:ascii="Arial" w:hAnsi="Arial" w:cs="Arial"/>
          <w:sz w:val="18"/>
          <w:szCs w:val="18"/>
        </w:rPr>
        <w:t xml:space="preserve">, prihodi su ostvareni u iznosu od </w:t>
      </w:r>
      <w:r w:rsidR="005E46C1">
        <w:rPr>
          <w:rFonts w:ascii="Arial" w:hAnsi="Arial" w:cs="Arial"/>
          <w:sz w:val="18"/>
          <w:szCs w:val="18"/>
        </w:rPr>
        <w:t>2.042.208,48</w:t>
      </w:r>
      <w:r w:rsidR="00003FEF" w:rsidRPr="000268B5">
        <w:rPr>
          <w:rFonts w:ascii="Arial" w:hAnsi="Arial" w:cs="Arial"/>
          <w:sz w:val="18"/>
          <w:szCs w:val="18"/>
        </w:rPr>
        <w:t xml:space="preserve"> ili </w:t>
      </w:r>
      <w:r w:rsidR="00AB76BE">
        <w:rPr>
          <w:rFonts w:ascii="Arial" w:hAnsi="Arial" w:cs="Arial"/>
          <w:sz w:val="18"/>
          <w:szCs w:val="18"/>
        </w:rPr>
        <w:t>40</w:t>
      </w:r>
      <w:r w:rsidRPr="00AB76BE">
        <w:rPr>
          <w:rFonts w:ascii="Arial" w:hAnsi="Arial" w:cs="Arial"/>
          <w:sz w:val="18"/>
          <w:szCs w:val="18"/>
        </w:rPr>
        <w:t>%</w:t>
      </w:r>
      <w:r w:rsidRPr="000268B5">
        <w:rPr>
          <w:rFonts w:ascii="Arial" w:hAnsi="Arial" w:cs="Arial"/>
          <w:sz w:val="18"/>
          <w:szCs w:val="18"/>
        </w:rPr>
        <w:t xml:space="preserve"> u odnosu na plan.</w:t>
      </w:r>
    </w:p>
    <w:p w14:paraId="05CD8451" w14:textId="466AAF42" w:rsidR="00C532E3" w:rsidRPr="00C532E3" w:rsidRDefault="007C3C28" w:rsidP="00760997">
      <w:pPr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05D25670" wp14:editId="5221E09A">
            <wp:extent cx="7534276" cy="3838575"/>
            <wp:effectExtent l="0" t="0" r="0" b="0"/>
            <wp:docPr id="183972911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11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EEDCB7F" w14:textId="77777777" w:rsidR="00C532E3" w:rsidRDefault="00C532E3" w:rsidP="00760997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53CAE2FD" w14:textId="77777777" w:rsidR="00C532E3" w:rsidRDefault="00C532E3" w:rsidP="00760997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4E0657F8" w14:textId="77777777" w:rsidR="00C532E3" w:rsidRDefault="00C532E3" w:rsidP="00760997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6D2CA042" w14:textId="77777777" w:rsidR="00834963" w:rsidRDefault="00834963" w:rsidP="00760997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6BAEA4F0" w14:textId="77777777" w:rsidR="00C532E3" w:rsidRDefault="00C532E3" w:rsidP="00760997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2ADE41C4" w14:textId="1D3F8884" w:rsidR="00760997" w:rsidRPr="00F817DE" w:rsidRDefault="00760997" w:rsidP="00760997">
      <w:pPr>
        <w:jc w:val="both"/>
        <w:rPr>
          <w:rFonts w:ascii="Arial" w:hAnsi="Arial" w:cs="Arial"/>
          <w:sz w:val="18"/>
          <w:szCs w:val="18"/>
        </w:rPr>
      </w:pPr>
      <w:r w:rsidRPr="00F817DE">
        <w:rPr>
          <w:rFonts w:ascii="Arial" w:hAnsi="Arial" w:cs="Arial"/>
          <w:b/>
          <w:sz w:val="18"/>
          <w:szCs w:val="18"/>
          <w:u w:val="single"/>
        </w:rPr>
        <w:t>Prihodi poslovanja</w:t>
      </w:r>
      <w:r w:rsidRPr="00F817DE">
        <w:rPr>
          <w:rFonts w:ascii="Arial" w:hAnsi="Arial" w:cs="Arial"/>
          <w:b/>
          <w:sz w:val="18"/>
          <w:szCs w:val="18"/>
        </w:rPr>
        <w:t xml:space="preserve">  (razred 6</w:t>
      </w:r>
      <w:r w:rsidRPr="00F817DE">
        <w:rPr>
          <w:rFonts w:ascii="Arial" w:hAnsi="Arial" w:cs="Arial"/>
          <w:sz w:val="18"/>
          <w:szCs w:val="18"/>
        </w:rPr>
        <w:t xml:space="preserve">) ostvareni su u iznosu </w:t>
      </w:r>
      <w:r w:rsidR="00435D66" w:rsidRPr="00F817DE">
        <w:rPr>
          <w:rFonts w:ascii="Arial" w:hAnsi="Arial" w:cs="Arial"/>
          <w:sz w:val="18"/>
          <w:szCs w:val="18"/>
        </w:rPr>
        <w:t xml:space="preserve">od </w:t>
      </w:r>
      <w:r w:rsidR="00435D66" w:rsidRPr="00F817DE">
        <w:rPr>
          <w:rFonts w:ascii="Arial" w:hAnsi="Arial" w:cs="Arial"/>
          <w:b/>
          <w:bCs/>
          <w:sz w:val="18"/>
          <w:szCs w:val="18"/>
        </w:rPr>
        <w:t>2.545.289,43</w:t>
      </w:r>
      <w:r w:rsidRPr="00F817DE">
        <w:rPr>
          <w:rFonts w:ascii="Arial" w:hAnsi="Arial" w:cs="Arial"/>
          <w:sz w:val="18"/>
          <w:szCs w:val="18"/>
        </w:rPr>
        <w:t xml:space="preserve"> ili </w:t>
      </w:r>
      <w:r w:rsidR="00435D66" w:rsidRPr="00F817DE">
        <w:rPr>
          <w:rFonts w:ascii="Arial" w:hAnsi="Arial" w:cs="Arial"/>
          <w:sz w:val="18"/>
          <w:szCs w:val="18"/>
        </w:rPr>
        <w:t>19</w:t>
      </w:r>
      <w:r w:rsidRPr="00F817DE">
        <w:rPr>
          <w:rFonts w:ascii="Arial" w:hAnsi="Arial" w:cs="Arial"/>
          <w:sz w:val="18"/>
          <w:szCs w:val="18"/>
        </w:rPr>
        <w:t>% od planiranog. U odnosu na isto razdoblje 20</w:t>
      </w:r>
      <w:r w:rsidR="0055159B" w:rsidRPr="00F817DE">
        <w:rPr>
          <w:rFonts w:ascii="Arial" w:hAnsi="Arial" w:cs="Arial"/>
          <w:sz w:val="18"/>
          <w:szCs w:val="18"/>
        </w:rPr>
        <w:t>2</w:t>
      </w:r>
      <w:r w:rsidR="00435D66" w:rsidRPr="00F817DE">
        <w:rPr>
          <w:rFonts w:ascii="Arial" w:hAnsi="Arial" w:cs="Arial"/>
          <w:sz w:val="18"/>
          <w:szCs w:val="18"/>
        </w:rPr>
        <w:t>3</w:t>
      </w:r>
      <w:r w:rsidR="008132DA" w:rsidRPr="00F817DE">
        <w:rPr>
          <w:rFonts w:ascii="Arial" w:hAnsi="Arial" w:cs="Arial"/>
          <w:sz w:val="18"/>
          <w:szCs w:val="18"/>
        </w:rPr>
        <w:t>.godine</w:t>
      </w:r>
      <w:r w:rsidR="005554FA" w:rsidRPr="00F817DE">
        <w:rPr>
          <w:rFonts w:ascii="Arial" w:hAnsi="Arial" w:cs="Arial"/>
          <w:sz w:val="18"/>
          <w:szCs w:val="18"/>
        </w:rPr>
        <w:t>,</w:t>
      </w:r>
      <w:r w:rsidR="008132DA" w:rsidRPr="00F817DE">
        <w:rPr>
          <w:rFonts w:ascii="Arial" w:hAnsi="Arial" w:cs="Arial"/>
          <w:sz w:val="18"/>
          <w:szCs w:val="18"/>
        </w:rPr>
        <w:t xml:space="preserve"> ovi prihodi su </w:t>
      </w:r>
      <w:r w:rsidR="00435D66" w:rsidRPr="00F817DE">
        <w:rPr>
          <w:rFonts w:ascii="Arial" w:hAnsi="Arial" w:cs="Arial"/>
          <w:sz w:val="18"/>
          <w:szCs w:val="18"/>
        </w:rPr>
        <w:t>21</w:t>
      </w:r>
      <w:r w:rsidRPr="00F817DE">
        <w:rPr>
          <w:rFonts w:ascii="Arial" w:hAnsi="Arial" w:cs="Arial"/>
          <w:sz w:val="18"/>
          <w:szCs w:val="18"/>
        </w:rPr>
        <w:t xml:space="preserve">% </w:t>
      </w:r>
      <w:r w:rsidR="00435D66" w:rsidRPr="00F817DE">
        <w:rPr>
          <w:rFonts w:ascii="Arial" w:hAnsi="Arial" w:cs="Arial"/>
          <w:sz w:val="18"/>
          <w:szCs w:val="18"/>
        </w:rPr>
        <w:t>veći</w:t>
      </w:r>
      <w:r w:rsidRPr="00F817DE">
        <w:rPr>
          <w:rFonts w:ascii="Arial" w:hAnsi="Arial" w:cs="Arial"/>
          <w:sz w:val="18"/>
          <w:szCs w:val="18"/>
        </w:rPr>
        <w:t xml:space="preserve">. Ukoliko iz razmatranja izuzmemo prihode korisnika Proračuna ostvarenje je </w:t>
      </w:r>
      <w:r w:rsidR="00AB76BE" w:rsidRPr="00F817DE">
        <w:rPr>
          <w:rFonts w:ascii="Arial" w:hAnsi="Arial" w:cs="Arial"/>
          <w:sz w:val="18"/>
          <w:szCs w:val="18"/>
        </w:rPr>
        <w:t>2.331.974,60</w:t>
      </w:r>
      <w:r w:rsidR="00E364D7" w:rsidRPr="00F817DE">
        <w:rPr>
          <w:rFonts w:ascii="Arial" w:hAnsi="Arial" w:cs="Arial"/>
          <w:sz w:val="18"/>
          <w:szCs w:val="18"/>
        </w:rPr>
        <w:t xml:space="preserve"> ili </w:t>
      </w:r>
      <w:r w:rsidR="00484ECD" w:rsidRPr="00F817DE">
        <w:rPr>
          <w:rFonts w:ascii="Arial" w:hAnsi="Arial" w:cs="Arial"/>
          <w:sz w:val="18"/>
          <w:szCs w:val="18"/>
        </w:rPr>
        <w:t>19</w:t>
      </w:r>
      <w:r w:rsidRPr="00F817DE">
        <w:rPr>
          <w:rFonts w:ascii="Arial" w:hAnsi="Arial" w:cs="Arial"/>
          <w:sz w:val="18"/>
          <w:szCs w:val="18"/>
        </w:rPr>
        <w:t>% od planiranih.</w:t>
      </w:r>
    </w:p>
    <w:p w14:paraId="2B8DB9CC" w14:textId="56492A23" w:rsidR="00760997" w:rsidRPr="00F817DE" w:rsidRDefault="00760997" w:rsidP="00760997">
      <w:pPr>
        <w:jc w:val="both"/>
        <w:rPr>
          <w:rFonts w:ascii="Arial" w:hAnsi="Arial" w:cs="Arial"/>
          <w:sz w:val="18"/>
          <w:szCs w:val="18"/>
        </w:rPr>
      </w:pPr>
      <w:r w:rsidRPr="00F817DE">
        <w:rPr>
          <w:rFonts w:ascii="Arial" w:hAnsi="Arial" w:cs="Arial"/>
          <w:b/>
          <w:sz w:val="18"/>
          <w:szCs w:val="18"/>
        </w:rPr>
        <w:t>Prihodi od poreza (skupina 61</w:t>
      </w:r>
      <w:r w:rsidRPr="00F817DE">
        <w:rPr>
          <w:rFonts w:ascii="Arial" w:hAnsi="Arial" w:cs="Arial"/>
          <w:sz w:val="18"/>
          <w:szCs w:val="18"/>
        </w:rPr>
        <w:t>) ostvareni su u iznosu od</w:t>
      </w:r>
      <w:r w:rsidR="00470816" w:rsidRPr="00F817DE">
        <w:rPr>
          <w:rFonts w:ascii="Arial" w:hAnsi="Arial" w:cs="Arial"/>
          <w:sz w:val="18"/>
          <w:szCs w:val="18"/>
        </w:rPr>
        <w:t xml:space="preserve"> </w:t>
      </w:r>
      <w:r w:rsidR="005554FA" w:rsidRPr="00F817DE">
        <w:rPr>
          <w:rFonts w:ascii="Arial" w:hAnsi="Arial" w:cs="Arial"/>
          <w:sz w:val="18"/>
          <w:szCs w:val="18"/>
        </w:rPr>
        <w:t>1.</w:t>
      </w:r>
      <w:r w:rsidR="005E38DB" w:rsidRPr="00F817DE">
        <w:rPr>
          <w:rFonts w:ascii="Arial" w:hAnsi="Arial" w:cs="Arial"/>
          <w:sz w:val="18"/>
          <w:szCs w:val="18"/>
        </w:rPr>
        <w:t>1.439.764,59</w:t>
      </w:r>
      <w:r w:rsidRPr="00F817DE">
        <w:rPr>
          <w:rFonts w:ascii="Arial" w:hAnsi="Arial" w:cs="Arial"/>
          <w:sz w:val="18"/>
          <w:szCs w:val="18"/>
        </w:rPr>
        <w:t xml:space="preserve"> odnosno</w:t>
      </w:r>
      <w:r w:rsidR="00B76F08" w:rsidRPr="00F817DE">
        <w:rPr>
          <w:rFonts w:ascii="Arial" w:hAnsi="Arial" w:cs="Arial"/>
          <w:sz w:val="18"/>
          <w:szCs w:val="18"/>
        </w:rPr>
        <w:t xml:space="preserve"> </w:t>
      </w:r>
      <w:r w:rsidR="005E38DB" w:rsidRPr="00F817DE">
        <w:rPr>
          <w:rFonts w:ascii="Arial" w:hAnsi="Arial" w:cs="Arial"/>
          <w:sz w:val="18"/>
          <w:szCs w:val="18"/>
        </w:rPr>
        <w:t>10</w:t>
      </w:r>
      <w:r w:rsidRPr="00F817DE">
        <w:rPr>
          <w:rFonts w:ascii="Arial" w:hAnsi="Arial" w:cs="Arial"/>
          <w:sz w:val="18"/>
          <w:szCs w:val="18"/>
        </w:rPr>
        <w:t xml:space="preserve">% </w:t>
      </w:r>
      <w:r w:rsidR="00B76F08" w:rsidRPr="00F817DE">
        <w:rPr>
          <w:rFonts w:ascii="Arial" w:hAnsi="Arial" w:cs="Arial"/>
          <w:sz w:val="18"/>
          <w:szCs w:val="18"/>
        </w:rPr>
        <w:t>više</w:t>
      </w:r>
      <w:r w:rsidRPr="00F817DE">
        <w:rPr>
          <w:rFonts w:ascii="Arial" w:hAnsi="Arial" w:cs="Arial"/>
          <w:sz w:val="18"/>
          <w:szCs w:val="18"/>
        </w:rPr>
        <w:t xml:space="preserve"> nego u istom razdoblju prethodne godine</w:t>
      </w:r>
      <w:r w:rsidR="00B76F08" w:rsidRPr="00F817DE">
        <w:rPr>
          <w:rFonts w:ascii="Arial" w:hAnsi="Arial" w:cs="Arial"/>
          <w:sz w:val="18"/>
          <w:szCs w:val="18"/>
        </w:rPr>
        <w:t>,</w:t>
      </w:r>
      <w:r w:rsidRPr="00F817DE">
        <w:rPr>
          <w:rFonts w:ascii="Arial" w:hAnsi="Arial" w:cs="Arial"/>
          <w:sz w:val="18"/>
          <w:szCs w:val="18"/>
        </w:rPr>
        <w:t xml:space="preserve"> a </w:t>
      </w:r>
      <w:r w:rsidR="005E38DB" w:rsidRPr="00F817DE">
        <w:rPr>
          <w:rFonts w:ascii="Arial" w:hAnsi="Arial" w:cs="Arial"/>
          <w:sz w:val="18"/>
          <w:szCs w:val="18"/>
        </w:rPr>
        <w:t>38</w:t>
      </w:r>
      <w:r w:rsidRPr="00F817DE">
        <w:rPr>
          <w:rFonts w:ascii="Arial" w:hAnsi="Arial" w:cs="Arial"/>
          <w:sz w:val="18"/>
          <w:szCs w:val="18"/>
        </w:rPr>
        <w:t>% u odnosu na plan.</w:t>
      </w:r>
    </w:p>
    <w:p w14:paraId="771D866C" w14:textId="571413C8" w:rsidR="0050049F" w:rsidRPr="00250FF3" w:rsidRDefault="00760997" w:rsidP="00335670">
      <w:pPr>
        <w:spacing w:after="0"/>
        <w:jc w:val="both"/>
        <w:rPr>
          <w:rFonts w:ascii="Arial" w:hAnsi="Arial" w:cs="Arial"/>
          <w:sz w:val="18"/>
          <w:szCs w:val="18"/>
        </w:rPr>
      </w:pPr>
      <w:r w:rsidRPr="00F817DE">
        <w:rPr>
          <w:rFonts w:ascii="Arial" w:hAnsi="Arial" w:cs="Arial"/>
          <w:b/>
          <w:sz w:val="18"/>
          <w:szCs w:val="18"/>
        </w:rPr>
        <w:t>Gradski porezi (dio skupine 61</w:t>
      </w:r>
      <w:r w:rsidR="00994228" w:rsidRPr="00F817DE">
        <w:rPr>
          <w:rFonts w:ascii="Arial" w:hAnsi="Arial" w:cs="Arial"/>
          <w:b/>
          <w:sz w:val="18"/>
          <w:szCs w:val="18"/>
        </w:rPr>
        <w:t>)</w:t>
      </w:r>
      <w:r w:rsidRPr="00F817DE">
        <w:rPr>
          <w:rFonts w:ascii="Arial" w:hAnsi="Arial" w:cs="Arial"/>
          <w:b/>
          <w:sz w:val="18"/>
          <w:szCs w:val="18"/>
        </w:rPr>
        <w:t xml:space="preserve"> </w:t>
      </w:r>
      <w:r w:rsidRPr="00F817DE">
        <w:rPr>
          <w:rFonts w:ascii="Arial" w:hAnsi="Arial" w:cs="Arial"/>
          <w:sz w:val="18"/>
          <w:szCs w:val="18"/>
        </w:rPr>
        <w:t>- porez na kuću za odmor, porez na potrošnju</w:t>
      </w:r>
      <w:r w:rsidR="001C34C5" w:rsidRPr="00F817DE">
        <w:rPr>
          <w:rFonts w:ascii="Arial" w:hAnsi="Arial" w:cs="Arial"/>
          <w:sz w:val="18"/>
          <w:szCs w:val="18"/>
        </w:rPr>
        <w:t>, porez na promet nekretnina</w:t>
      </w:r>
      <w:r w:rsidRPr="00F817DE">
        <w:rPr>
          <w:rFonts w:ascii="Arial" w:hAnsi="Arial" w:cs="Arial"/>
          <w:sz w:val="18"/>
          <w:szCs w:val="18"/>
        </w:rPr>
        <w:t xml:space="preserve"> i porez na tvrtku</w:t>
      </w:r>
      <w:r w:rsidR="009101EE" w:rsidRPr="00F817DE">
        <w:rPr>
          <w:rFonts w:ascii="Arial" w:hAnsi="Arial" w:cs="Arial"/>
          <w:sz w:val="18"/>
          <w:szCs w:val="18"/>
        </w:rPr>
        <w:t>-uki</w:t>
      </w:r>
      <w:r w:rsidR="001C34C5" w:rsidRPr="00F817DE">
        <w:rPr>
          <w:rFonts w:ascii="Arial" w:hAnsi="Arial" w:cs="Arial"/>
          <w:sz w:val="18"/>
          <w:szCs w:val="18"/>
        </w:rPr>
        <w:t>nut</w:t>
      </w:r>
      <w:r w:rsidRPr="00F817DE">
        <w:rPr>
          <w:rFonts w:ascii="Arial" w:hAnsi="Arial" w:cs="Arial"/>
          <w:sz w:val="18"/>
          <w:szCs w:val="18"/>
        </w:rPr>
        <w:t>)</w:t>
      </w:r>
      <w:r w:rsidR="00B6714B" w:rsidRPr="00F817DE">
        <w:rPr>
          <w:rFonts w:ascii="Arial" w:hAnsi="Arial" w:cs="Arial"/>
          <w:sz w:val="18"/>
          <w:szCs w:val="18"/>
        </w:rPr>
        <w:t>,</w:t>
      </w:r>
      <w:r w:rsidRPr="00F817DE">
        <w:rPr>
          <w:rFonts w:ascii="Arial" w:hAnsi="Arial" w:cs="Arial"/>
          <w:sz w:val="18"/>
          <w:szCs w:val="18"/>
        </w:rPr>
        <w:t xml:space="preserve"> su naplaćeni u iznosu od </w:t>
      </w:r>
      <w:r w:rsidR="002F3D32" w:rsidRPr="00F817DE">
        <w:rPr>
          <w:rFonts w:ascii="Arial" w:hAnsi="Arial" w:cs="Arial"/>
          <w:sz w:val="18"/>
          <w:szCs w:val="18"/>
        </w:rPr>
        <w:t>516.082,02</w:t>
      </w:r>
      <w:r w:rsidR="006A7B40" w:rsidRPr="00F817DE">
        <w:rPr>
          <w:rFonts w:ascii="Arial" w:hAnsi="Arial" w:cs="Arial"/>
          <w:sz w:val="18"/>
          <w:szCs w:val="18"/>
        </w:rPr>
        <w:t xml:space="preserve"> ili </w:t>
      </w:r>
      <w:r w:rsidR="00B6714B" w:rsidRPr="00F817DE">
        <w:rPr>
          <w:rFonts w:ascii="Arial" w:hAnsi="Arial" w:cs="Arial"/>
          <w:sz w:val="18"/>
          <w:szCs w:val="18"/>
        </w:rPr>
        <w:t>1</w:t>
      </w:r>
      <w:r w:rsidR="002F3D32" w:rsidRPr="00F817DE">
        <w:rPr>
          <w:rFonts w:ascii="Arial" w:hAnsi="Arial" w:cs="Arial"/>
          <w:sz w:val="18"/>
          <w:szCs w:val="18"/>
        </w:rPr>
        <w:t>50</w:t>
      </w:r>
      <w:r w:rsidR="006A7B40" w:rsidRPr="00250FF3">
        <w:rPr>
          <w:rFonts w:ascii="Arial" w:hAnsi="Arial" w:cs="Arial"/>
          <w:sz w:val="18"/>
          <w:szCs w:val="18"/>
        </w:rPr>
        <w:t xml:space="preserve">% </w:t>
      </w:r>
      <w:r w:rsidR="002F3D32">
        <w:rPr>
          <w:rFonts w:ascii="Arial" w:hAnsi="Arial" w:cs="Arial"/>
          <w:sz w:val="18"/>
          <w:szCs w:val="18"/>
        </w:rPr>
        <w:t>viš</w:t>
      </w:r>
      <w:r w:rsidR="003B2271">
        <w:rPr>
          <w:rFonts w:ascii="Arial" w:hAnsi="Arial" w:cs="Arial"/>
          <w:sz w:val="18"/>
          <w:szCs w:val="18"/>
        </w:rPr>
        <w:t>e</w:t>
      </w:r>
      <w:r w:rsidRPr="00250FF3">
        <w:rPr>
          <w:rFonts w:ascii="Arial" w:hAnsi="Arial" w:cs="Arial"/>
          <w:sz w:val="18"/>
          <w:szCs w:val="18"/>
        </w:rPr>
        <w:t xml:space="preserve"> nego u istom razdoblju prethodne godine.</w:t>
      </w:r>
    </w:p>
    <w:p w14:paraId="31BE1928" w14:textId="77777777" w:rsidR="002F3D32" w:rsidRDefault="002F3D32" w:rsidP="0033567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3947518" w14:textId="77777777" w:rsidR="00696482" w:rsidRDefault="00696482" w:rsidP="00335670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highlight w:val="green"/>
        </w:rPr>
      </w:pPr>
    </w:p>
    <w:p w14:paraId="444C39E4" w14:textId="77777777" w:rsidR="00696482" w:rsidRDefault="00696482" w:rsidP="00335670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highlight w:val="green"/>
        </w:rPr>
      </w:pPr>
    </w:p>
    <w:p w14:paraId="7E6B0D66" w14:textId="615CE864" w:rsidR="00120BD4" w:rsidRPr="00F817DE" w:rsidRDefault="00760997" w:rsidP="00335670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F817DE">
        <w:rPr>
          <w:rFonts w:ascii="Arial" w:hAnsi="Arial" w:cs="Arial"/>
          <w:b/>
          <w:sz w:val="18"/>
          <w:szCs w:val="18"/>
        </w:rPr>
        <w:t xml:space="preserve">Pomoći iz inozemstva i od </w:t>
      </w:r>
      <w:r w:rsidRPr="00F817DE">
        <w:rPr>
          <w:rFonts w:ascii="Arial" w:hAnsi="Arial" w:cs="Arial"/>
          <w:b/>
          <w:color w:val="000000"/>
          <w:sz w:val="18"/>
          <w:szCs w:val="18"/>
        </w:rPr>
        <w:t>subjekata unutar općeg proračuna (skupina 63</w:t>
      </w:r>
      <w:r w:rsidRPr="00F817DE">
        <w:rPr>
          <w:rFonts w:ascii="Arial" w:hAnsi="Arial" w:cs="Arial"/>
          <w:sz w:val="18"/>
          <w:szCs w:val="18"/>
        </w:rPr>
        <w:t xml:space="preserve">) su ostvarene u iznosu od </w:t>
      </w:r>
      <w:r w:rsidR="002F3D32" w:rsidRPr="00F817DE">
        <w:rPr>
          <w:rFonts w:ascii="Arial" w:hAnsi="Arial" w:cs="Arial"/>
          <w:sz w:val="18"/>
          <w:szCs w:val="18"/>
        </w:rPr>
        <w:t>349.355,37</w:t>
      </w:r>
      <w:r w:rsidR="004A2232" w:rsidRPr="00F817DE">
        <w:rPr>
          <w:rFonts w:ascii="Arial" w:hAnsi="Arial" w:cs="Arial"/>
          <w:sz w:val="18"/>
          <w:szCs w:val="18"/>
        </w:rPr>
        <w:t xml:space="preserve"> </w:t>
      </w:r>
      <w:r w:rsidRPr="00F817DE">
        <w:rPr>
          <w:rFonts w:ascii="Arial" w:hAnsi="Arial" w:cs="Arial"/>
          <w:sz w:val="18"/>
          <w:szCs w:val="18"/>
        </w:rPr>
        <w:t xml:space="preserve">ili </w:t>
      </w:r>
      <w:r w:rsidR="002F3D32" w:rsidRPr="00F817DE">
        <w:rPr>
          <w:rFonts w:ascii="Arial" w:hAnsi="Arial" w:cs="Arial"/>
          <w:sz w:val="18"/>
          <w:szCs w:val="18"/>
        </w:rPr>
        <w:t>163</w:t>
      </w:r>
      <w:r w:rsidRPr="00F817DE">
        <w:rPr>
          <w:rFonts w:ascii="Arial" w:hAnsi="Arial" w:cs="Arial"/>
          <w:sz w:val="18"/>
          <w:szCs w:val="18"/>
        </w:rPr>
        <w:t xml:space="preserve">% </w:t>
      </w:r>
      <w:r w:rsidR="002F3D32" w:rsidRPr="00F817DE">
        <w:rPr>
          <w:rFonts w:ascii="Arial" w:hAnsi="Arial" w:cs="Arial"/>
          <w:sz w:val="18"/>
          <w:szCs w:val="18"/>
        </w:rPr>
        <w:t>viš</w:t>
      </w:r>
      <w:r w:rsidR="0055408D" w:rsidRPr="00F817DE">
        <w:rPr>
          <w:rFonts w:ascii="Arial" w:hAnsi="Arial" w:cs="Arial"/>
          <w:sz w:val="18"/>
          <w:szCs w:val="18"/>
        </w:rPr>
        <w:t>e</w:t>
      </w:r>
      <w:r w:rsidRPr="00F817DE">
        <w:rPr>
          <w:rFonts w:ascii="Arial" w:hAnsi="Arial" w:cs="Arial"/>
          <w:sz w:val="18"/>
          <w:szCs w:val="18"/>
        </w:rPr>
        <w:t xml:space="preserve"> nego prošle godine</w:t>
      </w:r>
      <w:r w:rsidR="00B6714B" w:rsidRPr="00F817DE">
        <w:rPr>
          <w:rFonts w:ascii="Arial" w:hAnsi="Arial" w:cs="Arial"/>
          <w:sz w:val="18"/>
          <w:szCs w:val="18"/>
        </w:rPr>
        <w:t>,</w:t>
      </w:r>
      <w:r w:rsidRPr="00F817DE">
        <w:rPr>
          <w:rFonts w:ascii="Arial" w:hAnsi="Arial" w:cs="Arial"/>
          <w:sz w:val="18"/>
          <w:szCs w:val="18"/>
        </w:rPr>
        <w:t xml:space="preserve"> a </w:t>
      </w:r>
      <w:r w:rsidR="00B6714B" w:rsidRPr="00F817DE">
        <w:rPr>
          <w:rFonts w:ascii="Arial" w:hAnsi="Arial" w:cs="Arial"/>
          <w:sz w:val="18"/>
          <w:szCs w:val="18"/>
        </w:rPr>
        <w:t>5</w:t>
      </w:r>
      <w:r w:rsidRPr="00F817DE">
        <w:rPr>
          <w:rFonts w:ascii="Arial" w:hAnsi="Arial" w:cs="Arial"/>
          <w:sz w:val="18"/>
          <w:szCs w:val="18"/>
        </w:rPr>
        <w:t>% od plan</w:t>
      </w:r>
      <w:r w:rsidR="00834963" w:rsidRPr="00F817DE">
        <w:rPr>
          <w:rFonts w:ascii="Arial" w:hAnsi="Arial" w:cs="Arial"/>
          <w:sz w:val="18"/>
          <w:szCs w:val="18"/>
        </w:rPr>
        <w:t>iranih</w:t>
      </w:r>
      <w:r w:rsidRPr="00F817DE">
        <w:rPr>
          <w:rFonts w:ascii="Arial" w:hAnsi="Arial" w:cs="Arial"/>
          <w:sz w:val="18"/>
          <w:szCs w:val="18"/>
        </w:rPr>
        <w:t xml:space="preserve">. </w:t>
      </w:r>
      <w:r w:rsidR="009555AD" w:rsidRPr="00F817DE">
        <w:rPr>
          <w:rFonts w:ascii="Arial" w:hAnsi="Arial" w:cs="Arial"/>
          <w:sz w:val="18"/>
          <w:szCs w:val="18"/>
        </w:rPr>
        <w:t>O</w:t>
      </w:r>
      <w:r w:rsidRPr="00F817DE">
        <w:rPr>
          <w:rFonts w:ascii="Arial" w:hAnsi="Arial" w:cs="Arial"/>
          <w:sz w:val="18"/>
          <w:szCs w:val="18"/>
        </w:rPr>
        <w:t>dnose se na</w:t>
      </w:r>
      <w:r w:rsidR="00120BD4" w:rsidRPr="00F817DE">
        <w:rPr>
          <w:rFonts w:ascii="Arial" w:hAnsi="Arial" w:cs="Arial"/>
          <w:sz w:val="18"/>
          <w:szCs w:val="18"/>
        </w:rPr>
        <w:t>:</w:t>
      </w:r>
      <w:r w:rsidRPr="00F817DE">
        <w:rPr>
          <w:rFonts w:ascii="Arial" w:hAnsi="Arial" w:cs="Arial"/>
          <w:sz w:val="18"/>
          <w:szCs w:val="18"/>
        </w:rPr>
        <w:t xml:space="preserve"> </w:t>
      </w:r>
      <w:r w:rsidR="00120BD4" w:rsidRPr="00F817DE">
        <w:rPr>
          <w:rFonts w:ascii="Arial" w:hAnsi="Arial" w:cs="Arial"/>
          <w:sz w:val="18"/>
          <w:szCs w:val="18"/>
        </w:rPr>
        <w:t xml:space="preserve">      </w:t>
      </w:r>
    </w:p>
    <w:p w14:paraId="126C0629" w14:textId="78D71A1B" w:rsidR="00120BD4" w:rsidRPr="00F817DE" w:rsidRDefault="00120BD4" w:rsidP="006E6BE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9B9BDAD" w14:textId="6AE85216" w:rsidR="00120BD4" w:rsidRPr="00F817DE" w:rsidRDefault="00B70B66" w:rsidP="00747C0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817DE">
        <w:rPr>
          <w:rFonts w:ascii="Arial" w:hAnsi="Arial" w:cs="Arial"/>
          <w:sz w:val="18"/>
          <w:szCs w:val="18"/>
        </w:rPr>
        <w:t xml:space="preserve">kapitalne pomoći iz Ministarstva </w:t>
      </w:r>
      <w:r w:rsidR="00747C07" w:rsidRPr="00F817DE">
        <w:rPr>
          <w:rFonts w:ascii="Arial" w:hAnsi="Arial" w:cs="Arial"/>
          <w:sz w:val="18"/>
          <w:szCs w:val="18"/>
        </w:rPr>
        <w:t>turizma i sporta 122,115,36</w:t>
      </w:r>
      <w:r w:rsidR="00A0252D" w:rsidRPr="00F817DE">
        <w:rPr>
          <w:rFonts w:ascii="Arial" w:hAnsi="Arial" w:cs="Arial"/>
          <w:sz w:val="18"/>
          <w:szCs w:val="18"/>
        </w:rPr>
        <w:t xml:space="preserve"> za </w:t>
      </w:r>
      <w:r w:rsidR="00747C07" w:rsidRPr="00F817DE">
        <w:rPr>
          <w:rFonts w:ascii="Arial" w:hAnsi="Arial" w:cs="Arial"/>
          <w:sz w:val="18"/>
          <w:szCs w:val="18"/>
        </w:rPr>
        <w:t>uređenje sportskog igrališta Žrnovo</w:t>
      </w:r>
      <w:r w:rsidR="009101EE" w:rsidRPr="00F817DE">
        <w:rPr>
          <w:rFonts w:ascii="Arial" w:hAnsi="Arial" w:cs="Arial"/>
          <w:sz w:val="18"/>
          <w:szCs w:val="18"/>
        </w:rPr>
        <w:t>,</w:t>
      </w:r>
      <w:r w:rsidR="004D336E" w:rsidRPr="00F817DE">
        <w:rPr>
          <w:rFonts w:ascii="Arial" w:hAnsi="Arial" w:cs="Arial"/>
          <w:sz w:val="18"/>
          <w:szCs w:val="18"/>
        </w:rPr>
        <w:t xml:space="preserve"> </w:t>
      </w:r>
    </w:p>
    <w:p w14:paraId="7E9EE975" w14:textId="6879DDF9" w:rsidR="00747C07" w:rsidRPr="00F817DE" w:rsidRDefault="00747C07" w:rsidP="00747C0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817DE">
        <w:rPr>
          <w:rFonts w:ascii="Arial" w:hAnsi="Arial" w:cs="Arial"/>
          <w:sz w:val="18"/>
          <w:szCs w:val="18"/>
        </w:rPr>
        <w:t>kapitalne pomoći od izvanproračunskih korisnika FZOEU u iznosu 66,359,76 za implementaciju pametnih rješenja u prometu,</w:t>
      </w:r>
    </w:p>
    <w:p w14:paraId="703F96B1" w14:textId="0E75858F" w:rsidR="00747C07" w:rsidRPr="00F817DE" w:rsidRDefault="00747C07" w:rsidP="000861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817DE">
        <w:rPr>
          <w:rFonts w:ascii="Arial" w:hAnsi="Arial" w:cs="Arial"/>
          <w:sz w:val="18"/>
          <w:szCs w:val="18"/>
        </w:rPr>
        <w:t xml:space="preserve">kapitalne pomoći iz Ministarstva kulture za uređenje </w:t>
      </w:r>
      <w:r w:rsidR="007667B7">
        <w:rPr>
          <w:rFonts w:ascii="Arial" w:hAnsi="Arial" w:cs="Arial"/>
          <w:sz w:val="18"/>
          <w:szCs w:val="18"/>
        </w:rPr>
        <w:t>t</w:t>
      </w:r>
      <w:r w:rsidRPr="00F817DE">
        <w:rPr>
          <w:rFonts w:ascii="Arial" w:hAnsi="Arial" w:cs="Arial"/>
          <w:sz w:val="18"/>
          <w:szCs w:val="18"/>
        </w:rPr>
        <w:t xml:space="preserve">erase </w:t>
      </w:r>
      <w:r w:rsidR="00F71791" w:rsidRPr="00F817DE">
        <w:rPr>
          <w:rFonts w:ascii="Arial" w:hAnsi="Arial" w:cs="Arial"/>
          <w:sz w:val="18"/>
          <w:szCs w:val="18"/>
        </w:rPr>
        <w:t xml:space="preserve">krova Kapetanije </w:t>
      </w:r>
      <w:r w:rsidRPr="00F817DE">
        <w:rPr>
          <w:rFonts w:ascii="Arial" w:hAnsi="Arial" w:cs="Arial"/>
          <w:sz w:val="18"/>
          <w:szCs w:val="18"/>
        </w:rPr>
        <w:t>zapadno od Kneževog prolaza u iznosu od 8,325,</w:t>
      </w:r>
    </w:p>
    <w:p w14:paraId="3AD0EFD2" w14:textId="74A4831F" w:rsidR="00936114" w:rsidRPr="00F817DE" w:rsidRDefault="00936114" w:rsidP="000861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817DE">
        <w:rPr>
          <w:rFonts w:ascii="Arial" w:hAnsi="Arial" w:cs="Arial"/>
          <w:sz w:val="18"/>
          <w:szCs w:val="18"/>
        </w:rPr>
        <w:t xml:space="preserve">kapitalne pomoći iz Ministarstva kulture za </w:t>
      </w:r>
      <w:r w:rsidR="00F71791" w:rsidRPr="00F817DE">
        <w:rPr>
          <w:rFonts w:ascii="Arial" w:hAnsi="Arial" w:cs="Arial"/>
          <w:sz w:val="18"/>
          <w:szCs w:val="18"/>
        </w:rPr>
        <w:t>nabavu knjižne i neknjižne građe Gradske knjižnice u iznosu od 14,075,</w:t>
      </w:r>
    </w:p>
    <w:p w14:paraId="79D53C89" w14:textId="0CA8AE56" w:rsidR="00936114" w:rsidRPr="00F817DE" w:rsidRDefault="00936114" w:rsidP="000861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817DE">
        <w:rPr>
          <w:rFonts w:ascii="Arial" w:hAnsi="Arial" w:cs="Arial"/>
          <w:sz w:val="18"/>
          <w:szCs w:val="18"/>
        </w:rPr>
        <w:t>tekuće pomoći iz državnog proračuna za fiskalnu održivost dječjih Vrtića u iznosu od 104,658,73,</w:t>
      </w:r>
    </w:p>
    <w:p w14:paraId="2DCFBBFA" w14:textId="2DA0EBE2" w:rsidR="00936114" w:rsidRPr="00F817DE" w:rsidRDefault="00936114" w:rsidP="000861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817DE">
        <w:rPr>
          <w:rFonts w:ascii="Arial" w:hAnsi="Arial" w:cs="Arial"/>
          <w:sz w:val="18"/>
          <w:szCs w:val="18"/>
        </w:rPr>
        <w:t>tekuće pomoći Ministarstva kulture u iznosu od 1,040 za Dane Petra Šegedina,</w:t>
      </w:r>
    </w:p>
    <w:p w14:paraId="0AFB982B" w14:textId="6FAA04D9" w:rsidR="00B70B66" w:rsidRPr="00F817DE" w:rsidRDefault="00B70B66" w:rsidP="003356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817DE">
        <w:rPr>
          <w:rFonts w:ascii="Arial" w:hAnsi="Arial" w:cs="Arial"/>
          <w:sz w:val="18"/>
          <w:szCs w:val="18"/>
        </w:rPr>
        <w:t xml:space="preserve">tekuće pomoći Ministarstva kulture u iznosu od </w:t>
      </w:r>
      <w:r w:rsidR="00F71791" w:rsidRPr="00F817DE">
        <w:rPr>
          <w:rFonts w:ascii="Arial" w:hAnsi="Arial" w:cs="Arial"/>
          <w:sz w:val="18"/>
          <w:szCs w:val="18"/>
        </w:rPr>
        <w:t>7,700</w:t>
      </w:r>
      <w:r w:rsidR="00A0252D" w:rsidRPr="00F817DE">
        <w:rPr>
          <w:rFonts w:ascii="Arial" w:hAnsi="Arial" w:cs="Arial"/>
          <w:sz w:val="18"/>
          <w:szCs w:val="18"/>
        </w:rPr>
        <w:t xml:space="preserve"> za programe</w:t>
      </w:r>
      <w:r w:rsidR="00553095" w:rsidRPr="00F817DE">
        <w:rPr>
          <w:rFonts w:ascii="Arial" w:hAnsi="Arial" w:cs="Arial"/>
          <w:sz w:val="18"/>
          <w:szCs w:val="18"/>
        </w:rPr>
        <w:t xml:space="preserve"> i aktivnosti</w:t>
      </w:r>
      <w:r w:rsidR="00A0252D" w:rsidRPr="00F817DE">
        <w:rPr>
          <w:rFonts w:ascii="Arial" w:hAnsi="Arial" w:cs="Arial"/>
          <w:sz w:val="18"/>
          <w:szCs w:val="18"/>
        </w:rPr>
        <w:t xml:space="preserve"> Gradskog muzeja, Knjižnice i Centra za kulturu,</w:t>
      </w:r>
    </w:p>
    <w:p w14:paraId="196C35F0" w14:textId="5FCEF15C" w:rsidR="00553095" w:rsidRPr="00F817DE" w:rsidRDefault="00553095" w:rsidP="00B70B6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817DE">
        <w:rPr>
          <w:rFonts w:ascii="Arial" w:hAnsi="Arial" w:cs="Arial"/>
          <w:sz w:val="18"/>
          <w:szCs w:val="18"/>
        </w:rPr>
        <w:t xml:space="preserve">tekuće pomoći iz županije Dubrovačko-neretvanske u iznosu od </w:t>
      </w:r>
      <w:r w:rsidR="00936114" w:rsidRPr="00F817DE">
        <w:rPr>
          <w:rFonts w:ascii="Arial" w:hAnsi="Arial" w:cs="Arial"/>
          <w:sz w:val="18"/>
          <w:szCs w:val="18"/>
        </w:rPr>
        <w:t>7,800</w:t>
      </w:r>
      <w:r w:rsidRPr="00F817DE">
        <w:rPr>
          <w:rFonts w:ascii="Arial" w:hAnsi="Arial" w:cs="Arial"/>
          <w:sz w:val="18"/>
          <w:szCs w:val="18"/>
        </w:rPr>
        <w:t xml:space="preserve"> za aktivnosti Operni tjedan i </w:t>
      </w:r>
      <w:r w:rsidR="00936114" w:rsidRPr="00F817DE">
        <w:rPr>
          <w:rFonts w:ascii="Arial" w:hAnsi="Arial" w:cs="Arial"/>
          <w:sz w:val="18"/>
          <w:szCs w:val="18"/>
        </w:rPr>
        <w:t>modernizaciju teretane ŠOK-a</w:t>
      </w:r>
      <w:r w:rsidRPr="00F817DE">
        <w:rPr>
          <w:rFonts w:ascii="Arial" w:hAnsi="Arial" w:cs="Arial"/>
          <w:sz w:val="18"/>
          <w:szCs w:val="18"/>
        </w:rPr>
        <w:t>,</w:t>
      </w:r>
    </w:p>
    <w:p w14:paraId="04B029BE" w14:textId="11E28B12" w:rsidR="00553095" w:rsidRPr="00F817DE" w:rsidRDefault="00553095" w:rsidP="00B70B6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817DE">
        <w:rPr>
          <w:rFonts w:ascii="Arial" w:hAnsi="Arial" w:cs="Arial"/>
          <w:sz w:val="18"/>
          <w:szCs w:val="18"/>
        </w:rPr>
        <w:t xml:space="preserve">tekuće pomoći iz županije Dubrovačko-neretvanske </w:t>
      </w:r>
      <w:r w:rsidR="00F71791" w:rsidRPr="00F817DE">
        <w:rPr>
          <w:rFonts w:ascii="Arial" w:hAnsi="Arial" w:cs="Arial"/>
          <w:sz w:val="18"/>
          <w:szCs w:val="18"/>
        </w:rPr>
        <w:t>665</w:t>
      </w:r>
      <w:r w:rsidRPr="00F817DE">
        <w:rPr>
          <w:rFonts w:ascii="Arial" w:hAnsi="Arial" w:cs="Arial"/>
          <w:sz w:val="18"/>
          <w:szCs w:val="18"/>
        </w:rPr>
        <w:t xml:space="preserve"> za aktivnosti Gradskog muzeja i Centra za kulturu,</w:t>
      </w:r>
    </w:p>
    <w:p w14:paraId="42BAC9BB" w14:textId="45537B13" w:rsidR="00760997" w:rsidRPr="00F817DE" w:rsidRDefault="004D336E" w:rsidP="003356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817DE">
        <w:rPr>
          <w:rFonts w:ascii="Arial" w:hAnsi="Arial" w:cs="Arial"/>
          <w:sz w:val="18"/>
          <w:szCs w:val="18"/>
        </w:rPr>
        <w:t>tekuće pomoći općine Lumbarda</w:t>
      </w:r>
      <w:r w:rsidR="009555AD" w:rsidRPr="00F817DE">
        <w:rPr>
          <w:rFonts w:ascii="Arial" w:hAnsi="Arial" w:cs="Arial"/>
          <w:sz w:val="18"/>
          <w:szCs w:val="18"/>
        </w:rPr>
        <w:t xml:space="preserve"> </w:t>
      </w:r>
      <w:r w:rsidRPr="00F817DE">
        <w:rPr>
          <w:rFonts w:ascii="Arial" w:hAnsi="Arial" w:cs="Arial"/>
          <w:sz w:val="18"/>
          <w:szCs w:val="18"/>
        </w:rPr>
        <w:t xml:space="preserve">od </w:t>
      </w:r>
      <w:r w:rsidR="00553095" w:rsidRPr="00F817DE">
        <w:rPr>
          <w:rFonts w:ascii="Arial" w:hAnsi="Arial" w:cs="Arial"/>
          <w:sz w:val="18"/>
          <w:szCs w:val="18"/>
        </w:rPr>
        <w:t>1</w:t>
      </w:r>
      <w:r w:rsidR="00F71791" w:rsidRPr="00F817DE">
        <w:rPr>
          <w:rFonts w:ascii="Arial" w:hAnsi="Arial" w:cs="Arial"/>
          <w:sz w:val="18"/>
          <w:szCs w:val="18"/>
        </w:rPr>
        <w:t>4</w:t>
      </w:r>
      <w:r w:rsidR="00F50B45" w:rsidRPr="00F817DE">
        <w:rPr>
          <w:rFonts w:ascii="Arial" w:hAnsi="Arial" w:cs="Arial"/>
          <w:sz w:val="18"/>
          <w:szCs w:val="18"/>
        </w:rPr>
        <w:t>.</w:t>
      </w:r>
      <w:r w:rsidR="00F71791" w:rsidRPr="00F817DE">
        <w:rPr>
          <w:rFonts w:ascii="Arial" w:hAnsi="Arial" w:cs="Arial"/>
          <w:sz w:val="18"/>
          <w:szCs w:val="18"/>
        </w:rPr>
        <w:t>106,72</w:t>
      </w:r>
      <w:r w:rsidRPr="00F817DE">
        <w:rPr>
          <w:rFonts w:ascii="Arial" w:hAnsi="Arial" w:cs="Arial"/>
          <w:sz w:val="18"/>
          <w:szCs w:val="18"/>
        </w:rPr>
        <w:t xml:space="preserve"> za </w:t>
      </w:r>
      <w:r w:rsidR="00553095" w:rsidRPr="00F817DE">
        <w:rPr>
          <w:rFonts w:ascii="Arial" w:hAnsi="Arial" w:cs="Arial"/>
          <w:sz w:val="18"/>
          <w:szCs w:val="18"/>
        </w:rPr>
        <w:t>D</w:t>
      </w:r>
      <w:r w:rsidRPr="00F817DE">
        <w:rPr>
          <w:rFonts w:ascii="Arial" w:hAnsi="Arial" w:cs="Arial"/>
          <w:sz w:val="18"/>
          <w:szCs w:val="18"/>
        </w:rPr>
        <w:t>ječji vrtić</w:t>
      </w:r>
      <w:r w:rsidR="00F50B45" w:rsidRPr="00F817DE">
        <w:rPr>
          <w:rFonts w:ascii="Arial" w:hAnsi="Arial" w:cs="Arial"/>
          <w:sz w:val="18"/>
          <w:szCs w:val="18"/>
        </w:rPr>
        <w:t>,</w:t>
      </w:r>
      <w:r w:rsidRPr="00F817DE">
        <w:rPr>
          <w:rFonts w:ascii="Arial" w:hAnsi="Arial" w:cs="Arial"/>
          <w:sz w:val="18"/>
          <w:szCs w:val="18"/>
        </w:rPr>
        <w:t xml:space="preserve"> te </w:t>
      </w:r>
      <w:r w:rsidR="003F4DAE" w:rsidRPr="00F817DE">
        <w:rPr>
          <w:rFonts w:ascii="Arial" w:hAnsi="Arial" w:cs="Arial"/>
          <w:sz w:val="18"/>
          <w:szCs w:val="18"/>
        </w:rPr>
        <w:t>ostale</w:t>
      </w:r>
      <w:r w:rsidRPr="00F817DE">
        <w:rPr>
          <w:rFonts w:ascii="Arial" w:hAnsi="Arial" w:cs="Arial"/>
          <w:sz w:val="18"/>
          <w:szCs w:val="18"/>
        </w:rPr>
        <w:t xml:space="preserve"> tekuće pomoći</w:t>
      </w:r>
      <w:r w:rsidR="008B1E87" w:rsidRPr="00F817DE">
        <w:rPr>
          <w:rFonts w:ascii="Arial" w:hAnsi="Arial" w:cs="Arial"/>
          <w:sz w:val="18"/>
          <w:szCs w:val="18"/>
        </w:rPr>
        <w:t xml:space="preserve"> od </w:t>
      </w:r>
      <w:r w:rsidR="00553095" w:rsidRPr="00F817DE">
        <w:rPr>
          <w:rFonts w:ascii="Arial" w:hAnsi="Arial" w:cs="Arial"/>
          <w:sz w:val="18"/>
          <w:szCs w:val="18"/>
        </w:rPr>
        <w:t>2.</w:t>
      </w:r>
      <w:r w:rsidR="00F71791" w:rsidRPr="00F817DE">
        <w:rPr>
          <w:rFonts w:ascii="Arial" w:hAnsi="Arial" w:cs="Arial"/>
          <w:sz w:val="18"/>
          <w:szCs w:val="18"/>
        </w:rPr>
        <w:t>509,80</w:t>
      </w:r>
      <w:r w:rsidR="008B1E87" w:rsidRPr="00F817DE">
        <w:rPr>
          <w:rFonts w:ascii="Arial" w:hAnsi="Arial" w:cs="Arial"/>
          <w:sz w:val="18"/>
          <w:szCs w:val="18"/>
        </w:rPr>
        <w:t xml:space="preserve"> za </w:t>
      </w:r>
      <w:r w:rsidR="00553095" w:rsidRPr="00F817DE">
        <w:rPr>
          <w:rFonts w:ascii="Arial" w:hAnsi="Arial" w:cs="Arial"/>
          <w:sz w:val="18"/>
          <w:szCs w:val="18"/>
        </w:rPr>
        <w:t>D</w:t>
      </w:r>
      <w:r w:rsidR="008B1E87" w:rsidRPr="00F817DE">
        <w:rPr>
          <w:rFonts w:ascii="Arial" w:hAnsi="Arial" w:cs="Arial"/>
          <w:sz w:val="18"/>
          <w:szCs w:val="18"/>
        </w:rPr>
        <w:t>ječji vrtić</w:t>
      </w:r>
      <w:r w:rsidRPr="00F817DE">
        <w:rPr>
          <w:rFonts w:ascii="Arial" w:hAnsi="Arial" w:cs="Arial"/>
          <w:sz w:val="18"/>
          <w:szCs w:val="18"/>
        </w:rPr>
        <w:t>.</w:t>
      </w:r>
    </w:p>
    <w:p w14:paraId="38520F96" w14:textId="77777777" w:rsidR="003F4DAE" w:rsidRPr="00F817DE" w:rsidRDefault="003F4DAE" w:rsidP="0033567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2D9E560" w14:textId="253C47D6" w:rsidR="00760997" w:rsidRPr="00F817DE" w:rsidRDefault="00760997" w:rsidP="00335670">
      <w:pPr>
        <w:spacing w:after="0"/>
        <w:jc w:val="both"/>
        <w:rPr>
          <w:rFonts w:ascii="Arial" w:hAnsi="Arial" w:cs="Arial"/>
          <w:sz w:val="18"/>
          <w:szCs w:val="18"/>
        </w:rPr>
      </w:pPr>
      <w:r w:rsidRPr="00F817DE">
        <w:rPr>
          <w:rFonts w:ascii="Arial" w:hAnsi="Arial" w:cs="Arial"/>
          <w:b/>
          <w:sz w:val="18"/>
          <w:szCs w:val="18"/>
        </w:rPr>
        <w:t>Prihodi od imovine (skupina 64</w:t>
      </w:r>
      <w:r w:rsidR="00994228" w:rsidRPr="00F817DE">
        <w:rPr>
          <w:rFonts w:ascii="Arial" w:hAnsi="Arial" w:cs="Arial"/>
          <w:b/>
          <w:sz w:val="18"/>
          <w:szCs w:val="18"/>
        </w:rPr>
        <w:t>)</w:t>
      </w:r>
      <w:r w:rsidRPr="00F817DE">
        <w:rPr>
          <w:rFonts w:ascii="Arial" w:hAnsi="Arial" w:cs="Arial"/>
          <w:sz w:val="18"/>
          <w:szCs w:val="18"/>
        </w:rPr>
        <w:t xml:space="preserve"> - naknade za koncesije, zakup poslovnog prostora i javnih površina, spomenička renta, naknada za nezakonito izgrađene zgrade</w:t>
      </w:r>
      <w:r w:rsidR="00F232B8" w:rsidRPr="00F817DE">
        <w:rPr>
          <w:rFonts w:ascii="Arial" w:hAnsi="Arial" w:cs="Arial"/>
          <w:sz w:val="18"/>
          <w:szCs w:val="18"/>
        </w:rPr>
        <w:t>, prihodi od zateznih kamata</w:t>
      </w:r>
      <w:r w:rsidR="00C73008" w:rsidRPr="00F817DE">
        <w:rPr>
          <w:rFonts w:ascii="Arial" w:hAnsi="Arial" w:cs="Arial"/>
          <w:sz w:val="18"/>
          <w:szCs w:val="18"/>
        </w:rPr>
        <w:t>,</w:t>
      </w:r>
      <w:r w:rsidRPr="00F817DE">
        <w:rPr>
          <w:rFonts w:ascii="Arial" w:hAnsi="Arial" w:cs="Arial"/>
          <w:sz w:val="18"/>
          <w:szCs w:val="18"/>
        </w:rPr>
        <w:t xml:space="preserve"> ostvareni su  u iznosu od</w:t>
      </w:r>
      <w:r w:rsidR="00A94A5D" w:rsidRPr="00F817DE">
        <w:rPr>
          <w:rFonts w:ascii="Arial" w:hAnsi="Arial" w:cs="Arial"/>
          <w:sz w:val="18"/>
          <w:szCs w:val="18"/>
        </w:rPr>
        <w:t xml:space="preserve"> 227.018,94</w:t>
      </w:r>
      <w:r w:rsidRPr="00F817DE">
        <w:rPr>
          <w:rFonts w:ascii="Arial" w:hAnsi="Arial" w:cs="Arial"/>
          <w:sz w:val="18"/>
          <w:szCs w:val="18"/>
        </w:rPr>
        <w:t xml:space="preserve"> ili </w:t>
      </w:r>
      <w:r w:rsidR="00C73008" w:rsidRPr="00F817DE">
        <w:rPr>
          <w:rFonts w:ascii="Arial" w:hAnsi="Arial" w:cs="Arial"/>
          <w:sz w:val="18"/>
          <w:szCs w:val="18"/>
        </w:rPr>
        <w:t>1</w:t>
      </w:r>
      <w:r w:rsidR="00A94A5D" w:rsidRPr="00F817DE">
        <w:rPr>
          <w:rFonts w:ascii="Arial" w:hAnsi="Arial" w:cs="Arial"/>
          <w:sz w:val="18"/>
          <w:szCs w:val="18"/>
        </w:rPr>
        <w:t>8</w:t>
      </w:r>
      <w:r w:rsidRPr="00F817DE">
        <w:rPr>
          <w:rFonts w:ascii="Arial" w:hAnsi="Arial" w:cs="Arial"/>
          <w:sz w:val="18"/>
          <w:szCs w:val="18"/>
        </w:rPr>
        <w:t>% u odnosu na plan</w:t>
      </w:r>
      <w:r w:rsidR="00E67725" w:rsidRPr="00F817DE">
        <w:rPr>
          <w:rFonts w:ascii="Arial" w:hAnsi="Arial" w:cs="Arial"/>
          <w:sz w:val="18"/>
          <w:szCs w:val="18"/>
        </w:rPr>
        <w:t>,</w:t>
      </w:r>
      <w:r w:rsidRPr="00F817DE">
        <w:rPr>
          <w:rFonts w:ascii="Arial" w:hAnsi="Arial" w:cs="Arial"/>
          <w:sz w:val="18"/>
          <w:szCs w:val="18"/>
        </w:rPr>
        <w:t xml:space="preserve"> a </w:t>
      </w:r>
      <w:r w:rsidR="00C73008" w:rsidRPr="00F817DE">
        <w:rPr>
          <w:rFonts w:ascii="Arial" w:hAnsi="Arial" w:cs="Arial"/>
          <w:sz w:val="18"/>
          <w:szCs w:val="18"/>
        </w:rPr>
        <w:t>1</w:t>
      </w:r>
      <w:r w:rsidR="00A94A5D" w:rsidRPr="00F817DE">
        <w:rPr>
          <w:rFonts w:ascii="Arial" w:hAnsi="Arial" w:cs="Arial"/>
          <w:sz w:val="18"/>
          <w:szCs w:val="18"/>
        </w:rPr>
        <w:t>3</w:t>
      </w:r>
      <w:r w:rsidRPr="00F817DE">
        <w:rPr>
          <w:rFonts w:ascii="Arial" w:hAnsi="Arial" w:cs="Arial"/>
          <w:sz w:val="18"/>
          <w:szCs w:val="18"/>
        </w:rPr>
        <w:t xml:space="preserve">% </w:t>
      </w:r>
      <w:r w:rsidR="00300E9B" w:rsidRPr="00F817DE">
        <w:rPr>
          <w:rFonts w:ascii="Arial" w:hAnsi="Arial" w:cs="Arial"/>
          <w:sz w:val="18"/>
          <w:szCs w:val="18"/>
        </w:rPr>
        <w:t>više</w:t>
      </w:r>
      <w:r w:rsidRPr="00F817DE">
        <w:rPr>
          <w:rFonts w:ascii="Arial" w:hAnsi="Arial" w:cs="Arial"/>
          <w:sz w:val="18"/>
          <w:szCs w:val="18"/>
        </w:rPr>
        <w:t xml:space="preserve"> u odnosu na isto razdoblje prethodne godine. </w:t>
      </w:r>
    </w:p>
    <w:p w14:paraId="73A4CCAD" w14:textId="77777777" w:rsidR="00335670" w:rsidRPr="00F817DE" w:rsidRDefault="00335670" w:rsidP="0033567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C415091" w14:textId="3645568E" w:rsidR="00760997" w:rsidRPr="00F817DE" w:rsidRDefault="00760997" w:rsidP="00335670">
      <w:pPr>
        <w:spacing w:after="0"/>
        <w:jc w:val="both"/>
        <w:rPr>
          <w:rFonts w:ascii="Arial" w:hAnsi="Arial" w:cs="Arial"/>
          <w:sz w:val="18"/>
          <w:szCs w:val="18"/>
        </w:rPr>
      </w:pPr>
      <w:r w:rsidRPr="00F817DE">
        <w:rPr>
          <w:rFonts w:ascii="Arial" w:hAnsi="Arial" w:cs="Arial"/>
          <w:b/>
          <w:sz w:val="18"/>
          <w:szCs w:val="18"/>
        </w:rPr>
        <w:t>Prihodi od upravnih i administrativnih pristojbi, pristojbi po posebnim propisima i naknada (skupina 65</w:t>
      </w:r>
      <w:r w:rsidR="00994228" w:rsidRPr="00F817DE">
        <w:rPr>
          <w:rFonts w:ascii="Arial" w:hAnsi="Arial" w:cs="Arial"/>
          <w:b/>
          <w:sz w:val="18"/>
          <w:szCs w:val="18"/>
        </w:rPr>
        <w:t>)</w:t>
      </w:r>
      <w:r w:rsidRPr="00F817DE">
        <w:rPr>
          <w:rFonts w:ascii="Arial" w:hAnsi="Arial" w:cs="Arial"/>
          <w:sz w:val="18"/>
          <w:szCs w:val="18"/>
        </w:rPr>
        <w:t xml:space="preserve"> - komunalna naknada, komunalni doprinos, vodni doprinos, </w:t>
      </w:r>
      <w:r w:rsidR="009F235E" w:rsidRPr="00F817DE">
        <w:rPr>
          <w:rFonts w:ascii="Arial" w:hAnsi="Arial" w:cs="Arial"/>
          <w:sz w:val="18"/>
          <w:szCs w:val="18"/>
        </w:rPr>
        <w:t>turističke</w:t>
      </w:r>
      <w:r w:rsidRPr="00F817DE">
        <w:rPr>
          <w:rFonts w:ascii="Arial" w:hAnsi="Arial" w:cs="Arial"/>
          <w:sz w:val="18"/>
          <w:szCs w:val="18"/>
        </w:rPr>
        <w:t xml:space="preserve"> pristojbe, prihod od prodaje drž.biljega, sufinanciranja i dr., ostvareni su u iznosu od </w:t>
      </w:r>
      <w:r w:rsidR="00A94A5D" w:rsidRPr="00F817DE">
        <w:rPr>
          <w:rFonts w:ascii="Arial" w:hAnsi="Arial" w:cs="Arial"/>
          <w:sz w:val="18"/>
          <w:szCs w:val="18"/>
        </w:rPr>
        <w:t>473.333,77</w:t>
      </w:r>
      <w:r w:rsidRPr="00F817DE">
        <w:rPr>
          <w:rFonts w:ascii="Arial" w:hAnsi="Arial" w:cs="Arial"/>
          <w:sz w:val="18"/>
          <w:szCs w:val="18"/>
        </w:rPr>
        <w:t xml:space="preserve"> ili </w:t>
      </w:r>
      <w:r w:rsidR="008465C5" w:rsidRPr="00F817DE">
        <w:rPr>
          <w:rFonts w:ascii="Arial" w:hAnsi="Arial" w:cs="Arial"/>
          <w:sz w:val="18"/>
          <w:szCs w:val="18"/>
        </w:rPr>
        <w:t>3</w:t>
      </w:r>
      <w:r w:rsidR="00A94A5D" w:rsidRPr="00F817DE">
        <w:rPr>
          <w:rFonts w:ascii="Arial" w:hAnsi="Arial" w:cs="Arial"/>
          <w:sz w:val="18"/>
          <w:szCs w:val="18"/>
        </w:rPr>
        <w:t>9</w:t>
      </w:r>
      <w:r w:rsidRPr="00F817DE">
        <w:rPr>
          <w:rFonts w:ascii="Arial" w:hAnsi="Arial" w:cs="Arial"/>
          <w:sz w:val="18"/>
          <w:szCs w:val="18"/>
        </w:rPr>
        <w:t xml:space="preserve">% od plana a </w:t>
      </w:r>
      <w:r w:rsidR="00A94A5D" w:rsidRPr="00F817DE">
        <w:rPr>
          <w:rFonts w:ascii="Arial" w:hAnsi="Arial" w:cs="Arial"/>
          <w:sz w:val="18"/>
          <w:szCs w:val="18"/>
        </w:rPr>
        <w:t>21</w:t>
      </w:r>
      <w:r w:rsidRPr="00F817DE">
        <w:rPr>
          <w:rFonts w:ascii="Arial" w:hAnsi="Arial" w:cs="Arial"/>
          <w:sz w:val="18"/>
          <w:szCs w:val="18"/>
        </w:rPr>
        <w:t xml:space="preserve">% </w:t>
      </w:r>
      <w:r w:rsidR="00A94A5D" w:rsidRPr="00F817DE">
        <w:rPr>
          <w:rFonts w:ascii="Arial" w:hAnsi="Arial" w:cs="Arial"/>
          <w:sz w:val="18"/>
          <w:szCs w:val="18"/>
        </w:rPr>
        <w:t>viš</w:t>
      </w:r>
      <w:r w:rsidR="008465C5" w:rsidRPr="00F817DE">
        <w:rPr>
          <w:rFonts w:ascii="Arial" w:hAnsi="Arial" w:cs="Arial"/>
          <w:sz w:val="18"/>
          <w:szCs w:val="18"/>
        </w:rPr>
        <w:t>e</w:t>
      </w:r>
      <w:r w:rsidRPr="00F817DE">
        <w:rPr>
          <w:rFonts w:ascii="Arial" w:hAnsi="Arial" w:cs="Arial"/>
          <w:sz w:val="18"/>
          <w:szCs w:val="18"/>
        </w:rPr>
        <w:t xml:space="preserve"> nego u istom razdoblju  prethodne godine. Tu su iskazani prihodi korisnika u iznosu od </w:t>
      </w:r>
      <w:r w:rsidR="00517487" w:rsidRPr="00F817DE">
        <w:rPr>
          <w:rFonts w:ascii="Arial" w:hAnsi="Arial" w:cs="Arial"/>
          <w:sz w:val="18"/>
          <w:szCs w:val="18"/>
        </w:rPr>
        <w:t>5</w:t>
      </w:r>
      <w:r w:rsidR="00236FAB" w:rsidRPr="00F817DE">
        <w:rPr>
          <w:rFonts w:ascii="Arial" w:hAnsi="Arial" w:cs="Arial"/>
          <w:sz w:val="18"/>
          <w:szCs w:val="18"/>
        </w:rPr>
        <w:t>7.740,54</w:t>
      </w:r>
      <w:r w:rsidRPr="00F817DE">
        <w:rPr>
          <w:rFonts w:ascii="Arial" w:hAnsi="Arial" w:cs="Arial"/>
          <w:sz w:val="18"/>
          <w:szCs w:val="18"/>
        </w:rPr>
        <w:t xml:space="preserve"> (Dječji vrtić Korčula-sufinanciranja cijene usluge vrtića od roditelja).</w:t>
      </w:r>
    </w:p>
    <w:p w14:paraId="660B7B63" w14:textId="77777777" w:rsidR="00335670" w:rsidRPr="00F817DE" w:rsidRDefault="00335670" w:rsidP="0033567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0BCA977" w14:textId="48BDBC7B" w:rsidR="00760997" w:rsidRPr="00F817DE" w:rsidRDefault="00760997" w:rsidP="00335670">
      <w:pPr>
        <w:spacing w:after="0"/>
        <w:jc w:val="both"/>
        <w:rPr>
          <w:rFonts w:ascii="Arial" w:hAnsi="Arial" w:cs="Arial"/>
          <w:sz w:val="18"/>
          <w:szCs w:val="18"/>
        </w:rPr>
      </w:pPr>
      <w:r w:rsidRPr="00F817DE">
        <w:rPr>
          <w:rFonts w:ascii="Arial" w:hAnsi="Arial" w:cs="Arial"/>
          <w:b/>
          <w:sz w:val="18"/>
          <w:szCs w:val="18"/>
        </w:rPr>
        <w:t>Prihodi od prodaje proizvoda i robe te pruženih usluga i prihodi od donacija (skupina 66</w:t>
      </w:r>
      <w:r w:rsidRPr="00F817DE">
        <w:rPr>
          <w:rFonts w:ascii="Arial" w:hAnsi="Arial" w:cs="Arial"/>
          <w:sz w:val="18"/>
          <w:szCs w:val="18"/>
        </w:rPr>
        <w:t xml:space="preserve">) ostvareni su u iznosu od </w:t>
      </w:r>
      <w:r w:rsidR="00381A8D" w:rsidRPr="00F817DE">
        <w:rPr>
          <w:rFonts w:ascii="Arial" w:hAnsi="Arial" w:cs="Arial"/>
          <w:sz w:val="18"/>
          <w:szCs w:val="18"/>
        </w:rPr>
        <w:t>41</w:t>
      </w:r>
      <w:r w:rsidR="00F53220" w:rsidRPr="00F817DE">
        <w:rPr>
          <w:rFonts w:ascii="Arial" w:hAnsi="Arial" w:cs="Arial"/>
          <w:sz w:val="18"/>
          <w:szCs w:val="18"/>
        </w:rPr>
        <w:t>.</w:t>
      </w:r>
      <w:r w:rsidR="00381A8D" w:rsidRPr="00F817DE">
        <w:rPr>
          <w:rFonts w:ascii="Arial" w:hAnsi="Arial" w:cs="Arial"/>
          <w:sz w:val="18"/>
          <w:szCs w:val="18"/>
        </w:rPr>
        <w:t>857,54</w:t>
      </w:r>
      <w:r w:rsidR="002379A6" w:rsidRPr="00F817DE">
        <w:rPr>
          <w:rFonts w:ascii="Arial" w:hAnsi="Arial" w:cs="Arial"/>
          <w:sz w:val="18"/>
          <w:szCs w:val="18"/>
        </w:rPr>
        <w:t xml:space="preserve"> ili </w:t>
      </w:r>
      <w:r w:rsidR="00381A8D" w:rsidRPr="00F817DE">
        <w:rPr>
          <w:rFonts w:ascii="Arial" w:hAnsi="Arial" w:cs="Arial"/>
          <w:sz w:val="18"/>
          <w:szCs w:val="18"/>
        </w:rPr>
        <w:t>26</w:t>
      </w:r>
      <w:r w:rsidR="002379A6" w:rsidRPr="00F817DE">
        <w:rPr>
          <w:rFonts w:ascii="Arial" w:hAnsi="Arial" w:cs="Arial"/>
          <w:sz w:val="18"/>
          <w:szCs w:val="18"/>
        </w:rPr>
        <w:t>% od plana</w:t>
      </w:r>
      <w:r w:rsidR="008F3957" w:rsidRPr="00F817DE">
        <w:rPr>
          <w:rFonts w:ascii="Arial" w:hAnsi="Arial" w:cs="Arial"/>
          <w:sz w:val="18"/>
          <w:szCs w:val="18"/>
        </w:rPr>
        <w:t>,</w:t>
      </w:r>
      <w:r w:rsidR="002379A6" w:rsidRPr="00F817DE">
        <w:rPr>
          <w:rFonts w:ascii="Arial" w:hAnsi="Arial" w:cs="Arial"/>
          <w:sz w:val="18"/>
          <w:szCs w:val="18"/>
        </w:rPr>
        <w:t xml:space="preserve"> a </w:t>
      </w:r>
      <w:r w:rsidR="00381A8D" w:rsidRPr="00F817DE">
        <w:rPr>
          <w:rFonts w:ascii="Arial" w:hAnsi="Arial" w:cs="Arial"/>
          <w:sz w:val="18"/>
          <w:szCs w:val="18"/>
        </w:rPr>
        <w:t>26</w:t>
      </w:r>
      <w:r w:rsidRPr="00F817DE">
        <w:rPr>
          <w:rFonts w:ascii="Arial" w:hAnsi="Arial" w:cs="Arial"/>
          <w:sz w:val="18"/>
          <w:szCs w:val="18"/>
        </w:rPr>
        <w:t xml:space="preserve">% </w:t>
      </w:r>
      <w:r w:rsidR="00381A8D" w:rsidRPr="00F817DE">
        <w:rPr>
          <w:rFonts w:ascii="Arial" w:hAnsi="Arial" w:cs="Arial"/>
          <w:sz w:val="18"/>
          <w:szCs w:val="18"/>
        </w:rPr>
        <w:t>manj</w:t>
      </w:r>
      <w:r w:rsidR="00C840C8" w:rsidRPr="00F817DE">
        <w:rPr>
          <w:rFonts w:ascii="Arial" w:hAnsi="Arial" w:cs="Arial"/>
          <w:sz w:val="18"/>
          <w:szCs w:val="18"/>
        </w:rPr>
        <w:t>e</w:t>
      </w:r>
      <w:r w:rsidRPr="00F817DE">
        <w:rPr>
          <w:rFonts w:ascii="Arial" w:hAnsi="Arial" w:cs="Arial"/>
          <w:sz w:val="18"/>
          <w:szCs w:val="18"/>
        </w:rPr>
        <w:t xml:space="preserve"> nego u istom razdoblju prethodne godine. Pri</w:t>
      </w:r>
      <w:r w:rsidR="002379A6" w:rsidRPr="00F817DE">
        <w:rPr>
          <w:rFonts w:ascii="Arial" w:hAnsi="Arial" w:cs="Arial"/>
          <w:sz w:val="18"/>
          <w:szCs w:val="18"/>
        </w:rPr>
        <w:t xml:space="preserve">hodi ove skupine </w:t>
      </w:r>
      <w:r w:rsidRPr="00F817DE">
        <w:rPr>
          <w:rFonts w:ascii="Arial" w:hAnsi="Arial" w:cs="Arial"/>
          <w:sz w:val="18"/>
          <w:szCs w:val="18"/>
        </w:rPr>
        <w:t>odnose</w:t>
      </w:r>
      <w:r w:rsidR="002379A6" w:rsidRPr="00F817DE">
        <w:rPr>
          <w:rFonts w:ascii="Arial" w:hAnsi="Arial" w:cs="Arial"/>
          <w:sz w:val="18"/>
          <w:szCs w:val="18"/>
        </w:rPr>
        <w:t xml:space="preserve"> se</w:t>
      </w:r>
      <w:r w:rsidRPr="00F817DE">
        <w:rPr>
          <w:rFonts w:ascii="Arial" w:hAnsi="Arial" w:cs="Arial"/>
          <w:sz w:val="18"/>
          <w:szCs w:val="18"/>
        </w:rPr>
        <w:t xml:space="preserve"> proračunske korisnike</w:t>
      </w:r>
      <w:r w:rsidR="008F3957" w:rsidRPr="00F817DE">
        <w:rPr>
          <w:rFonts w:ascii="Arial" w:hAnsi="Arial" w:cs="Arial"/>
          <w:sz w:val="18"/>
          <w:szCs w:val="18"/>
        </w:rPr>
        <w:t xml:space="preserve"> </w:t>
      </w:r>
      <w:r w:rsidRPr="00F817DE">
        <w:rPr>
          <w:rFonts w:ascii="Arial" w:hAnsi="Arial" w:cs="Arial"/>
          <w:sz w:val="18"/>
          <w:szCs w:val="18"/>
        </w:rPr>
        <w:t>i to</w:t>
      </w:r>
      <w:r w:rsidR="004C0CF4" w:rsidRPr="00F817DE">
        <w:rPr>
          <w:rFonts w:ascii="Arial" w:hAnsi="Arial" w:cs="Arial"/>
          <w:sz w:val="18"/>
          <w:szCs w:val="18"/>
        </w:rPr>
        <w:t xml:space="preserve"> na</w:t>
      </w:r>
      <w:r w:rsidRPr="00F817DE">
        <w:rPr>
          <w:rFonts w:ascii="Arial" w:hAnsi="Arial" w:cs="Arial"/>
          <w:sz w:val="18"/>
          <w:szCs w:val="18"/>
        </w:rPr>
        <w:t xml:space="preserve"> prihode od pruženi</w:t>
      </w:r>
      <w:r w:rsidR="002379A6" w:rsidRPr="00F817DE">
        <w:rPr>
          <w:rFonts w:ascii="Arial" w:hAnsi="Arial" w:cs="Arial"/>
          <w:sz w:val="18"/>
          <w:szCs w:val="18"/>
        </w:rPr>
        <w:t xml:space="preserve">h usluga </w:t>
      </w:r>
      <w:r w:rsidR="004C0CF4" w:rsidRPr="00F817DE">
        <w:rPr>
          <w:rFonts w:ascii="Arial" w:hAnsi="Arial" w:cs="Arial"/>
          <w:sz w:val="18"/>
          <w:szCs w:val="18"/>
        </w:rPr>
        <w:t xml:space="preserve">i prodaje proizvoda i robe </w:t>
      </w:r>
      <w:r w:rsidR="002379A6" w:rsidRPr="00F817DE">
        <w:rPr>
          <w:rFonts w:ascii="Arial" w:hAnsi="Arial" w:cs="Arial"/>
          <w:sz w:val="18"/>
          <w:szCs w:val="18"/>
        </w:rPr>
        <w:t>proračunskih korisnika</w:t>
      </w:r>
      <w:r w:rsidR="003E7080" w:rsidRPr="00F817DE">
        <w:rPr>
          <w:rFonts w:ascii="Arial" w:hAnsi="Arial" w:cs="Arial"/>
          <w:sz w:val="18"/>
          <w:szCs w:val="18"/>
        </w:rPr>
        <w:t>.</w:t>
      </w:r>
    </w:p>
    <w:p w14:paraId="71AD0C79" w14:textId="77777777" w:rsidR="00335670" w:rsidRPr="00F817DE" w:rsidRDefault="00335670" w:rsidP="0033567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0BDE516" w14:textId="54CCD366" w:rsidR="00760997" w:rsidRPr="00F817DE" w:rsidRDefault="00760997" w:rsidP="00335670">
      <w:pPr>
        <w:spacing w:after="0"/>
        <w:jc w:val="both"/>
        <w:rPr>
          <w:rFonts w:ascii="Arial" w:hAnsi="Arial" w:cs="Arial"/>
          <w:sz w:val="18"/>
          <w:szCs w:val="18"/>
        </w:rPr>
      </w:pPr>
      <w:r w:rsidRPr="00F817DE">
        <w:rPr>
          <w:rFonts w:ascii="Arial" w:hAnsi="Arial" w:cs="Arial"/>
          <w:b/>
          <w:sz w:val="18"/>
          <w:szCs w:val="18"/>
        </w:rPr>
        <w:t>Prihodi od kazni, upravnih mjera i ostali prihodi (skupina 68</w:t>
      </w:r>
      <w:r w:rsidRPr="00F817DE">
        <w:rPr>
          <w:rFonts w:ascii="Arial" w:hAnsi="Arial" w:cs="Arial"/>
          <w:sz w:val="18"/>
          <w:szCs w:val="18"/>
        </w:rPr>
        <w:t xml:space="preserve">) ostvareni su s </w:t>
      </w:r>
      <w:r w:rsidR="00660DEC" w:rsidRPr="00F817DE">
        <w:rPr>
          <w:rFonts w:ascii="Arial" w:hAnsi="Arial" w:cs="Arial"/>
          <w:sz w:val="18"/>
          <w:szCs w:val="18"/>
        </w:rPr>
        <w:t>13.959,22</w:t>
      </w:r>
      <w:r w:rsidRPr="00F817DE">
        <w:rPr>
          <w:rFonts w:ascii="Arial" w:hAnsi="Arial" w:cs="Arial"/>
          <w:sz w:val="18"/>
          <w:szCs w:val="18"/>
        </w:rPr>
        <w:t xml:space="preserve"> ili</w:t>
      </w:r>
      <w:r w:rsidR="00684913" w:rsidRPr="00F817DE">
        <w:rPr>
          <w:rFonts w:ascii="Arial" w:hAnsi="Arial" w:cs="Arial"/>
          <w:sz w:val="18"/>
          <w:szCs w:val="18"/>
        </w:rPr>
        <w:t xml:space="preserve"> </w:t>
      </w:r>
      <w:r w:rsidR="00660DEC" w:rsidRPr="00F817DE">
        <w:rPr>
          <w:rFonts w:ascii="Arial" w:hAnsi="Arial" w:cs="Arial"/>
          <w:sz w:val="18"/>
          <w:szCs w:val="18"/>
        </w:rPr>
        <w:t>81</w:t>
      </w:r>
      <w:r w:rsidRPr="00F817DE">
        <w:rPr>
          <w:rFonts w:ascii="Arial" w:hAnsi="Arial" w:cs="Arial"/>
          <w:sz w:val="18"/>
          <w:szCs w:val="18"/>
        </w:rPr>
        <w:t xml:space="preserve">% </w:t>
      </w:r>
      <w:r w:rsidR="00660DEC" w:rsidRPr="00F817DE">
        <w:rPr>
          <w:rFonts w:ascii="Arial" w:hAnsi="Arial" w:cs="Arial"/>
          <w:sz w:val="18"/>
          <w:szCs w:val="18"/>
        </w:rPr>
        <w:t>viš</w:t>
      </w:r>
      <w:r w:rsidR="00684913" w:rsidRPr="00F817DE">
        <w:rPr>
          <w:rFonts w:ascii="Arial" w:hAnsi="Arial" w:cs="Arial"/>
          <w:sz w:val="18"/>
          <w:szCs w:val="18"/>
        </w:rPr>
        <w:t>e</w:t>
      </w:r>
      <w:r w:rsidRPr="00F817DE">
        <w:rPr>
          <w:rFonts w:ascii="Arial" w:hAnsi="Arial" w:cs="Arial"/>
          <w:sz w:val="18"/>
          <w:szCs w:val="18"/>
        </w:rPr>
        <w:t xml:space="preserve"> nego prethodne godine, </w:t>
      </w:r>
      <w:r w:rsidR="00660DEC" w:rsidRPr="00F817DE">
        <w:rPr>
          <w:rFonts w:ascii="Arial" w:hAnsi="Arial" w:cs="Arial"/>
          <w:sz w:val="18"/>
          <w:szCs w:val="18"/>
        </w:rPr>
        <w:t>4</w:t>
      </w:r>
      <w:r w:rsidR="00F237FF" w:rsidRPr="00F817DE">
        <w:rPr>
          <w:rFonts w:ascii="Arial" w:hAnsi="Arial" w:cs="Arial"/>
          <w:sz w:val="18"/>
          <w:szCs w:val="18"/>
        </w:rPr>
        <w:t>2</w:t>
      </w:r>
      <w:r w:rsidRPr="00F817DE">
        <w:rPr>
          <w:rFonts w:ascii="Arial" w:hAnsi="Arial" w:cs="Arial"/>
          <w:sz w:val="18"/>
          <w:szCs w:val="18"/>
        </w:rPr>
        <w:t>% od plana. Ovi prihodi se odnose na prihode Grada i to prihode od kazni za prometne i ostale prekršaje u nadležnosti MUP-a.</w:t>
      </w:r>
    </w:p>
    <w:p w14:paraId="0B98D7AD" w14:textId="77777777" w:rsidR="00335670" w:rsidRPr="00F817DE" w:rsidRDefault="00335670" w:rsidP="0033567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00A794C" w14:textId="59CDF1E9" w:rsidR="0050049F" w:rsidRPr="00F817DE" w:rsidRDefault="00760997" w:rsidP="00335670">
      <w:pPr>
        <w:spacing w:after="0"/>
        <w:jc w:val="both"/>
        <w:rPr>
          <w:rFonts w:ascii="Arial" w:hAnsi="Arial" w:cs="Arial"/>
          <w:sz w:val="18"/>
          <w:szCs w:val="18"/>
        </w:rPr>
      </w:pPr>
      <w:r w:rsidRPr="00F817DE">
        <w:rPr>
          <w:rFonts w:ascii="Arial" w:hAnsi="Arial" w:cs="Arial"/>
          <w:b/>
          <w:sz w:val="18"/>
          <w:szCs w:val="18"/>
          <w:u w:val="single"/>
        </w:rPr>
        <w:t>Prihodi od prodaje nefinancijske imovine</w:t>
      </w:r>
      <w:r w:rsidRPr="00F817DE">
        <w:rPr>
          <w:rFonts w:ascii="Arial" w:hAnsi="Arial" w:cs="Arial"/>
          <w:b/>
          <w:sz w:val="18"/>
          <w:szCs w:val="18"/>
        </w:rPr>
        <w:t xml:space="preserve"> (razred 7</w:t>
      </w:r>
      <w:r w:rsidRPr="00F817DE">
        <w:rPr>
          <w:rFonts w:ascii="Arial" w:hAnsi="Arial" w:cs="Arial"/>
          <w:sz w:val="18"/>
          <w:szCs w:val="18"/>
        </w:rPr>
        <w:t xml:space="preserve">) ostvareni su s </w:t>
      </w:r>
      <w:r w:rsidR="005D1715" w:rsidRPr="00F817DE">
        <w:rPr>
          <w:rFonts w:ascii="Arial" w:hAnsi="Arial" w:cs="Arial"/>
          <w:sz w:val="18"/>
          <w:szCs w:val="18"/>
        </w:rPr>
        <w:t xml:space="preserve">59.589,25 odnosno </w:t>
      </w:r>
      <w:r w:rsidR="00F237FF" w:rsidRPr="00F817DE">
        <w:rPr>
          <w:rFonts w:ascii="Arial" w:hAnsi="Arial" w:cs="Arial"/>
          <w:sz w:val="18"/>
          <w:szCs w:val="18"/>
        </w:rPr>
        <w:t>2</w:t>
      </w:r>
      <w:r w:rsidR="005D1715" w:rsidRPr="00F817DE">
        <w:rPr>
          <w:rFonts w:ascii="Arial" w:hAnsi="Arial" w:cs="Arial"/>
          <w:sz w:val="18"/>
          <w:szCs w:val="18"/>
        </w:rPr>
        <w:t>7</w:t>
      </w:r>
      <w:r w:rsidR="00F237FF" w:rsidRPr="00F817DE">
        <w:rPr>
          <w:rFonts w:ascii="Arial" w:hAnsi="Arial" w:cs="Arial"/>
          <w:sz w:val="18"/>
          <w:szCs w:val="18"/>
        </w:rPr>
        <w:t>% u odnosu na planirane</w:t>
      </w:r>
      <w:r w:rsidR="00BF5577" w:rsidRPr="00F817DE">
        <w:rPr>
          <w:rFonts w:ascii="Arial" w:hAnsi="Arial" w:cs="Arial"/>
          <w:sz w:val="18"/>
          <w:szCs w:val="18"/>
        </w:rPr>
        <w:t>. Ovi prihod</w:t>
      </w:r>
      <w:r w:rsidR="008D4E62" w:rsidRPr="00F817DE">
        <w:rPr>
          <w:rFonts w:ascii="Arial" w:hAnsi="Arial" w:cs="Arial"/>
          <w:sz w:val="18"/>
          <w:szCs w:val="18"/>
        </w:rPr>
        <w:t xml:space="preserve">i </w:t>
      </w:r>
      <w:r w:rsidR="00BF5577" w:rsidRPr="00F817DE">
        <w:rPr>
          <w:rFonts w:ascii="Arial" w:hAnsi="Arial" w:cs="Arial"/>
          <w:sz w:val="18"/>
          <w:szCs w:val="18"/>
        </w:rPr>
        <w:t xml:space="preserve">odnose se na prodaju </w:t>
      </w:r>
      <w:r w:rsidR="00434E78" w:rsidRPr="00F817DE">
        <w:rPr>
          <w:rFonts w:ascii="Arial" w:hAnsi="Arial" w:cs="Arial"/>
          <w:sz w:val="18"/>
          <w:szCs w:val="18"/>
        </w:rPr>
        <w:t xml:space="preserve">gradskih zemljišta i </w:t>
      </w:r>
      <w:r w:rsidR="00BF5577" w:rsidRPr="00F817DE">
        <w:rPr>
          <w:rFonts w:ascii="Arial" w:hAnsi="Arial" w:cs="Arial"/>
          <w:sz w:val="18"/>
          <w:szCs w:val="18"/>
        </w:rPr>
        <w:t xml:space="preserve">stanova </w:t>
      </w:r>
      <w:r w:rsidR="008D4E62" w:rsidRPr="00F817DE">
        <w:rPr>
          <w:rFonts w:ascii="Arial" w:hAnsi="Arial" w:cs="Arial"/>
          <w:sz w:val="18"/>
          <w:szCs w:val="18"/>
        </w:rPr>
        <w:t>u vlasništvu Grada.</w:t>
      </w:r>
      <w:r w:rsidRPr="00F817DE">
        <w:rPr>
          <w:rFonts w:ascii="Arial" w:hAnsi="Arial" w:cs="Arial"/>
          <w:sz w:val="18"/>
          <w:szCs w:val="18"/>
        </w:rPr>
        <w:t xml:space="preserve">  </w:t>
      </w:r>
    </w:p>
    <w:p w14:paraId="0F8BC618" w14:textId="77777777" w:rsidR="00335670" w:rsidRPr="00F817DE" w:rsidRDefault="00335670" w:rsidP="0033567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70ED321" w14:textId="5BF16478" w:rsidR="00F02FF7" w:rsidRDefault="00A56D38" w:rsidP="00E40CCF">
      <w:pPr>
        <w:spacing w:after="0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F817DE">
        <w:rPr>
          <w:rFonts w:ascii="Arial" w:hAnsi="Arial" w:cs="Arial"/>
          <w:b/>
          <w:sz w:val="18"/>
          <w:szCs w:val="18"/>
          <w:u w:val="single"/>
        </w:rPr>
        <w:t>Primici od zaduživanja</w:t>
      </w:r>
      <w:r w:rsidRPr="00F817DE">
        <w:rPr>
          <w:rFonts w:ascii="Arial" w:hAnsi="Arial" w:cs="Arial"/>
          <w:b/>
          <w:sz w:val="18"/>
          <w:szCs w:val="18"/>
        </w:rPr>
        <w:t xml:space="preserve"> (razred 8) </w:t>
      </w:r>
      <w:r w:rsidR="00973AB1" w:rsidRPr="00F817DE">
        <w:rPr>
          <w:rFonts w:ascii="Arial" w:hAnsi="Arial" w:cs="Arial"/>
          <w:bCs/>
          <w:sz w:val="18"/>
          <w:szCs w:val="18"/>
        </w:rPr>
        <w:t>u ovom razdoblju</w:t>
      </w:r>
      <w:r w:rsidR="00132B02" w:rsidRPr="00F817DE">
        <w:rPr>
          <w:rFonts w:ascii="Arial" w:hAnsi="Arial" w:cs="Arial"/>
          <w:bCs/>
          <w:sz w:val="18"/>
          <w:szCs w:val="18"/>
        </w:rPr>
        <w:t xml:space="preserve"> </w:t>
      </w:r>
      <w:r w:rsidR="0035534F" w:rsidRPr="00F817DE">
        <w:rPr>
          <w:rFonts w:ascii="Arial" w:hAnsi="Arial" w:cs="Arial"/>
          <w:bCs/>
          <w:sz w:val="18"/>
          <w:szCs w:val="18"/>
        </w:rPr>
        <w:t xml:space="preserve">su </w:t>
      </w:r>
      <w:r w:rsidR="00132B02" w:rsidRPr="00F817DE">
        <w:rPr>
          <w:rFonts w:ascii="Arial" w:hAnsi="Arial" w:cs="Arial"/>
          <w:bCs/>
          <w:sz w:val="18"/>
          <w:szCs w:val="18"/>
        </w:rPr>
        <w:t>ostvareni</w:t>
      </w:r>
      <w:r w:rsidR="0035534F" w:rsidRPr="00F817DE">
        <w:rPr>
          <w:rFonts w:ascii="Arial" w:hAnsi="Arial" w:cs="Arial"/>
          <w:bCs/>
          <w:sz w:val="18"/>
          <w:szCs w:val="18"/>
        </w:rPr>
        <w:t xml:space="preserve"> u iznosu 100.000</w:t>
      </w:r>
      <w:r w:rsidR="00E40CCF" w:rsidRPr="00F817DE">
        <w:rPr>
          <w:rFonts w:ascii="Arial" w:hAnsi="Arial" w:cs="Arial"/>
          <w:bCs/>
          <w:sz w:val="18"/>
          <w:szCs w:val="18"/>
        </w:rPr>
        <w:t xml:space="preserve"> te se odnose na kratkoročnu pozajmicu od KTD Hober d.o.o.</w:t>
      </w:r>
    </w:p>
    <w:p w14:paraId="4A2D0F2C" w14:textId="77777777" w:rsidR="003C6D04" w:rsidRDefault="003C6D04" w:rsidP="00036AC9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16ED96A6" w14:textId="33B9165A" w:rsidR="00C532E3" w:rsidRDefault="00C532E3" w:rsidP="00036AC9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278954FC" w14:textId="77777777" w:rsidR="006A0CED" w:rsidRDefault="006A0CED" w:rsidP="00036AC9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5E9B4F70" w14:textId="0743663D" w:rsidR="00C532E3" w:rsidRDefault="00C532E3" w:rsidP="00036AC9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3FB5F0E0" w14:textId="41E69C7D" w:rsidR="00C532E3" w:rsidRDefault="00C532E3" w:rsidP="00036AC9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470E3C74" w14:textId="08320E34" w:rsidR="00C532E3" w:rsidRDefault="00C532E3" w:rsidP="00036AC9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039526AB" w14:textId="77777777" w:rsidR="00020419" w:rsidRDefault="00020419" w:rsidP="00636131">
      <w:pPr>
        <w:rPr>
          <w:rFonts w:ascii="Arial" w:hAnsi="Arial" w:cs="Arial"/>
          <w:b/>
          <w:i/>
          <w:sz w:val="20"/>
          <w:szCs w:val="20"/>
        </w:rPr>
      </w:pPr>
    </w:p>
    <w:p w14:paraId="08E6EEE4" w14:textId="66323D21" w:rsidR="00302F19" w:rsidRDefault="00636131" w:rsidP="00636131">
      <w:pPr>
        <w:rPr>
          <w:rFonts w:ascii="Arial" w:hAnsi="Arial" w:cs="Arial"/>
          <w:b/>
          <w:i/>
          <w:sz w:val="20"/>
          <w:szCs w:val="20"/>
        </w:rPr>
      </w:pPr>
      <w:r w:rsidRPr="00F817DE">
        <w:rPr>
          <w:rFonts w:ascii="Arial" w:hAnsi="Arial" w:cs="Arial"/>
          <w:b/>
          <w:i/>
          <w:sz w:val="20"/>
          <w:szCs w:val="20"/>
        </w:rPr>
        <w:lastRenderedPageBreak/>
        <w:t>Prihodi ustanova, korisnika</w:t>
      </w:r>
      <w:r w:rsidR="00696482">
        <w:rPr>
          <w:rFonts w:ascii="Arial" w:hAnsi="Arial" w:cs="Arial"/>
          <w:b/>
          <w:i/>
          <w:sz w:val="20"/>
          <w:szCs w:val="20"/>
        </w:rPr>
        <w:t xml:space="preserve"> </w:t>
      </w:r>
      <w:r w:rsidRPr="0044293B">
        <w:rPr>
          <w:rFonts w:ascii="Arial" w:hAnsi="Arial" w:cs="Arial"/>
          <w:b/>
          <w:i/>
          <w:sz w:val="20"/>
          <w:szCs w:val="20"/>
        </w:rPr>
        <w:t>Proračuna su ostvareni kako slijedi:</w:t>
      </w:r>
    </w:p>
    <w:tbl>
      <w:tblPr>
        <w:tblW w:w="11963" w:type="dxa"/>
        <w:tblInd w:w="118" w:type="dxa"/>
        <w:tblLook w:val="04A0" w:firstRow="1" w:lastRow="0" w:firstColumn="1" w:lastColumn="0" w:noHBand="0" w:noVBand="1"/>
      </w:tblPr>
      <w:tblGrid>
        <w:gridCol w:w="2633"/>
        <w:gridCol w:w="1487"/>
        <w:gridCol w:w="1308"/>
        <w:gridCol w:w="1309"/>
        <w:gridCol w:w="1668"/>
        <w:gridCol w:w="1668"/>
        <w:gridCol w:w="1668"/>
        <w:gridCol w:w="222"/>
      </w:tblGrid>
      <w:tr w:rsidR="00302F19" w:rsidRPr="00302F19" w14:paraId="3F6D4406" w14:textId="77777777" w:rsidTr="00302F19">
        <w:trPr>
          <w:gridAfter w:val="1"/>
          <w:wAfter w:w="222" w:type="dxa"/>
          <w:trHeight w:val="509"/>
        </w:trPr>
        <w:tc>
          <w:tcPr>
            <w:tcW w:w="26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76072" w14:textId="77777777" w:rsidR="00302F19" w:rsidRPr="00302F19" w:rsidRDefault="00302F19" w:rsidP="00302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KORISNIK PRORAČUNA</w:t>
            </w:r>
          </w:p>
        </w:tc>
        <w:tc>
          <w:tcPr>
            <w:tcW w:w="14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BC80C" w14:textId="77777777" w:rsidR="00302F19" w:rsidRPr="00302F19" w:rsidRDefault="00302F19" w:rsidP="00302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26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6672BA" w14:textId="77777777" w:rsidR="00302F19" w:rsidRPr="00302F19" w:rsidRDefault="00302F19" w:rsidP="00302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VLASTITI  I OSTALI  PRIHODI</w:t>
            </w:r>
          </w:p>
        </w:tc>
        <w:tc>
          <w:tcPr>
            <w:tcW w:w="1668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C1D45" w14:textId="77777777" w:rsidR="00302F19" w:rsidRPr="00302F19" w:rsidRDefault="00302F19" w:rsidP="00302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IZ PRORAČUNA</w:t>
            </w:r>
          </w:p>
        </w:tc>
        <w:tc>
          <w:tcPr>
            <w:tcW w:w="1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B8F6B" w14:textId="77777777" w:rsidR="00302F19" w:rsidRPr="00302F19" w:rsidRDefault="00302F19" w:rsidP="00302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PRENESENI VIŠAK/MANJAK</w:t>
            </w:r>
          </w:p>
        </w:tc>
        <w:tc>
          <w:tcPr>
            <w:tcW w:w="1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9F448" w14:textId="77777777" w:rsidR="00302F19" w:rsidRPr="00302F19" w:rsidRDefault="00302F19" w:rsidP="00302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VIŠAK/MANJAK</w:t>
            </w:r>
          </w:p>
        </w:tc>
      </w:tr>
      <w:tr w:rsidR="00302F19" w:rsidRPr="00302F19" w14:paraId="63EFA082" w14:textId="77777777" w:rsidTr="00302F19">
        <w:trPr>
          <w:trHeight w:val="310"/>
        </w:trPr>
        <w:tc>
          <w:tcPr>
            <w:tcW w:w="2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77A29" w14:textId="77777777" w:rsidR="00302F19" w:rsidRPr="00302F19" w:rsidRDefault="00302F19" w:rsidP="00302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766AE3" w14:textId="77777777" w:rsidR="00302F19" w:rsidRPr="00302F19" w:rsidRDefault="00302F19" w:rsidP="00302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EF40D6" w14:textId="77777777" w:rsidR="00302F19" w:rsidRPr="00302F19" w:rsidRDefault="00302F19" w:rsidP="00302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971853" w14:textId="77777777" w:rsidR="00302F19" w:rsidRPr="00302F19" w:rsidRDefault="00302F19" w:rsidP="00302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8D060B" w14:textId="77777777" w:rsidR="00302F19" w:rsidRPr="00302F19" w:rsidRDefault="00302F19" w:rsidP="00302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2D77F6" w14:textId="77777777" w:rsidR="00302F19" w:rsidRPr="00302F19" w:rsidRDefault="00302F19" w:rsidP="00302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F967" w14:textId="77777777" w:rsidR="00302F19" w:rsidRPr="00302F19" w:rsidRDefault="00302F19" w:rsidP="00302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</w:tr>
      <w:tr w:rsidR="00302F19" w:rsidRPr="00302F19" w14:paraId="4AEBA25E" w14:textId="77777777" w:rsidTr="00302F19">
        <w:trPr>
          <w:trHeight w:val="310"/>
        </w:trPr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D8EFD" w14:textId="77777777" w:rsidR="00302F19" w:rsidRPr="00302F19" w:rsidRDefault="00302F19" w:rsidP="00302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3721B" w14:textId="77777777" w:rsidR="00302F19" w:rsidRPr="00302F19" w:rsidRDefault="00302F19" w:rsidP="00302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ostvarenje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D2264" w14:textId="77777777" w:rsidR="00302F19" w:rsidRPr="00302F19" w:rsidRDefault="00302F19" w:rsidP="00302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plan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D3316" w14:textId="77777777" w:rsidR="00302F19" w:rsidRPr="00302F19" w:rsidRDefault="00302F19" w:rsidP="00302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ostvarenje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DCE40" w14:textId="77777777" w:rsidR="00302F19" w:rsidRPr="00302F19" w:rsidRDefault="00302F19" w:rsidP="00302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ostvarenje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E3F72" w14:textId="77777777" w:rsidR="00302F19" w:rsidRPr="00302F19" w:rsidRDefault="00302F19" w:rsidP="00302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4DC38" w14:textId="77777777" w:rsidR="00302F19" w:rsidRPr="00302F19" w:rsidRDefault="00302F19" w:rsidP="00302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ostvarenje</w:t>
            </w:r>
          </w:p>
        </w:tc>
        <w:tc>
          <w:tcPr>
            <w:tcW w:w="222" w:type="dxa"/>
            <w:vAlign w:val="center"/>
            <w:hideMark/>
          </w:tcPr>
          <w:p w14:paraId="59812815" w14:textId="77777777" w:rsidR="00302F19" w:rsidRPr="00302F19" w:rsidRDefault="00302F19" w:rsidP="00302F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302F19" w:rsidRPr="00302F19" w14:paraId="08F558D1" w14:textId="77777777" w:rsidTr="00302F19">
        <w:trPr>
          <w:trHeight w:val="310"/>
        </w:trPr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0C9D6" w14:textId="77777777" w:rsidR="00302F19" w:rsidRPr="00302F19" w:rsidRDefault="00302F19" w:rsidP="00302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C00D8" w14:textId="77777777" w:rsidR="00302F19" w:rsidRPr="00302F19" w:rsidRDefault="00302F19" w:rsidP="00302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1(2+3+4)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919BD" w14:textId="77777777" w:rsidR="00302F19" w:rsidRPr="00302F19" w:rsidRDefault="00302F19" w:rsidP="00302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D3523" w14:textId="77777777" w:rsidR="00302F19" w:rsidRPr="00302F19" w:rsidRDefault="00302F19" w:rsidP="00302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C5283" w14:textId="77777777" w:rsidR="00302F19" w:rsidRPr="00302F19" w:rsidRDefault="00302F19" w:rsidP="00302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63A69" w14:textId="77777777" w:rsidR="00302F19" w:rsidRPr="00302F19" w:rsidRDefault="00302F19" w:rsidP="00302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BD1A4" w14:textId="77777777" w:rsidR="00302F19" w:rsidRPr="00302F19" w:rsidRDefault="00302F19" w:rsidP="00302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14:paraId="11767864" w14:textId="77777777" w:rsidR="00302F19" w:rsidRPr="00302F19" w:rsidRDefault="00302F19" w:rsidP="00302F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302F19" w:rsidRPr="00302F19" w14:paraId="4AC7E40D" w14:textId="77777777" w:rsidTr="00302F19">
        <w:trPr>
          <w:trHeight w:val="310"/>
        </w:trPr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CFE27" w14:textId="77777777" w:rsidR="00302F19" w:rsidRPr="00302F19" w:rsidRDefault="00302F19" w:rsidP="00302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Gradski muzej Korčula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EE8CC" w14:textId="77777777" w:rsidR="00302F19" w:rsidRPr="00302F19" w:rsidRDefault="00302F19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100.268,36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5B0A6" w14:textId="77777777" w:rsidR="00302F19" w:rsidRPr="00302F19" w:rsidRDefault="00302F19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57.107,00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6C8A4" w14:textId="77777777" w:rsidR="00302F19" w:rsidRPr="00302F19" w:rsidRDefault="00302F19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10.401,41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C0A7B" w14:textId="77777777" w:rsidR="00302F19" w:rsidRPr="00302F19" w:rsidRDefault="00302F19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81.695,50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ACE6C" w14:textId="77777777" w:rsidR="00302F19" w:rsidRPr="00302F19" w:rsidRDefault="00302F19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8.171,45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DF8D9" w14:textId="77777777" w:rsidR="00302F19" w:rsidRPr="00302F19" w:rsidRDefault="00302F19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-10.680,68</w:t>
            </w:r>
          </w:p>
        </w:tc>
        <w:tc>
          <w:tcPr>
            <w:tcW w:w="222" w:type="dxa"/>
            <w:vAlign w:val="center"/>
            <w:hideMark/>
          </w:tcPr>
          <w:p w14:paraId="07E0812A" w14:textId="77777777" w:rsidR="00302F19" w:rsidRPr="00302F19" w:rsidRDefault="00302F19" w:rsidP="00302F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302F19" w:rsidRPr="00302F19" w14:paraId="05DA3873" w14:textId="77777777" w:rsidTr="00302F19">
        <w:trPr>
          <w:trHeight w:val="310"/>
        </w:trPr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49E9C" w14:textId="77777777" w:rsidR="00302F19" w:rsidRPr="00302F19" w:rsidRDefault="00302F19" w:rsidP="00302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Gradska knjižnica Ivan Vidali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5C95A" w14:textId="77777777" w:rsidR="00302F19" w:rsidRPr="00302F19" w:rsidRDefault="00302F19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90.843,31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A2CC7" w14:textId="77777777" w:rsidR="00302F19" w:rsidRPr="00302F19" w:rsidRDefault="00302F19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37.420,00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4B923" w14:textId="77777777" w:rsidR="00302F19" w:rsidRPr="00302F19" w:rsidRDefault="00302F19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21.588,60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F74AA" w14:textId="77777777" w:rsidR="00302F19" w:rsidRPr="00302F19" w:rsidRDefault="00302F19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74.051,96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B8ED3" w14:textId="77777777" w:rsidR="00302F19" w:rsidRPr="00302F19" w:rsidRDefault="00302F19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-4.797,25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3122A" w14:textId="77777777" w:rsidR="00302F19" w:rsidRPr="00302F19" w:rsidRDefault="00302F19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582,11</w:t>
            </w:r>
          </w:p>
        </w:tc>
        <w:tc>
          <w:tcPr>
            <w:tcW w:w="222" w:type="dxa"/>
            <w:vAlign w:val="center"/>
            <w:hideMark/>
          </w:tcPr>
          <w:p w14:paraId="3E0CA31C" w14:textId="77777777" w:rsidR="00302F19" w:rsidRPr="00302F19" w:rsidRDefault="00302F19" w:rsidP="00302F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302F19" w:rsidRPr="00302F19" w14:paraId="31F6FD26" w14:textId="77777777" w:rsidTr="00302F19">
        <w:trPr>
          <w:trHeight w:val="310"/>
        </w:trPr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44E00" w14:textId="77777777" w:rsidR="00302F19" w:rsidRPr="00302F19" w:rsidRDefault="00302F19" w:rsidP="00302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Dječji vrtić Korčula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10EA5" w14:textId="77777777" w:rsidR="00302F19" w:rsidRPr="00302F19" w:rsidRDefault="00302F19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441.546,25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BB613" w14:textId="77777777" w:rsidR="00302F19" w:rsidRPr="00302F19" w:rsidRDefault="00302F19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294.781,00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49A1F" w14:textId="77777777" w:rsidR="00302F19" w:rsidRPr="00302F19" w:rsidRDefault="00302F19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148.750,73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958FA" w14:textId="77777777" w:rsidR="00302F19" w:rsidRPr="00302F19" w:rsidRDefault="00302F19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307.211,48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72DC2" w14:textId="77777777" w:rsidR="00302F19" w:rsidRPr="00302F19" w:rsidRDefault="00302F19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-14.415,96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35B7F" w14:textId="77777777" w:rsidR="00302F19" w:rsidRPr="00302F19" w:rsidRDefault="00302F19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-9.876,66</w:t>
            </w:r>
          </w:p>
        </w:tc>
        <w:tc>
          <w:tcPr>
            <w:tcW w:w="222" w:type="dxa"/>
            <w:vAlign w:val="center"/>
            <w:hideMark/>
          </w:tcPr>
          <w:p w14:paraId="02B9EE48" w14:textId="77777777" w:rsidR="00302F19" w:rsidRPr="00302F19" w:rsidRDefault="00302F19" w:rsidP="00302F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302F19" w:rsidRPr="00302F19" w14:paraId="4274D6EB" w14:textId="77777777" w:rsidTr="00302F19">
        <w:trPr>
          <w:trHeight w:val="310"/>
        </w:trPr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A6F19" w14:textId="77777777" w:rsidR="00302F19" w:rsidRPr="00302F19" w:rsidRDefault="00302F19" w:rsidP="00302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Centar za kulturu Korčula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51031" w14:textId="77777777" w:rsidR="00302F19" w:rsidRPr="00302F19" w:rsidRDefault="00302F19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96.871,21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ACFE3" w14:textId="77777777" w:rsidR="00302F19" w:rsidRPr="00302F19" w:rsidRDefault="00302F19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40.500,00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6181F" w14:textId="77777777" w:rsidR="00302F19" w:rsidRPr="00302F19" w:rsidRDefault="00302F19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13.250,81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8433E" w14:textId="77777777" w:rsidR="00302F19" w:rsidRPr="00302F19" w:rsidRDefault="00302F19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90.525,60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85D2A" w14:textId="77777777" w:rsidR="00302F19" w:rsidRPr="00302F19" w:rsidRDefault="00302F19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-6.905,20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B0495" w14:textId="77777777" w:rsidR="00302F19" w:rsidRPr="00302F19" w:rsidRDefault="00302F19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-5.154,73</w:t>
            </w:r>
          </w:p>
        </w:tc>
        <w:tc>
          <w:tcPr>
            <w:tcW w:w="222" w:type="dxa"/>
            <w:vAlign w:val="center"/>
            <w:hideMark/>
          </w:tcPr>
          <w:p w14:paraId="019B6B6D" w14:textId="77777777" w:rsidR="00302F19" w:rsidRPr="00302F19" w:rsidRDefault="00302F19" w:rsidP="00302F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302F19" w:rsidRPr="00302F19" w14:paraId="36E14632" w14:textId="77777777" w:rsidTr="00302F19">
        <w:trPr>
          <w:trHeight w:val="310"/>
        </w:trPr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5BBB1" w14:textId="77777777" w:rsidR="00302F19" w:rsidRPr="00302F19" w:rsidRDefault="00302F19" w:rsidP="00302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Ustanova Športski objekti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E3704" w14:textId="77777777" w:rsidR="00302F19" w:rsidRPr="00302F19" w:rsidRDefault="00302F19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298.202,21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15364" w14:textId="65E63B3A" w:rsidR="00302F19" w:rsidRPr="00302F19" w:rsidRDefault="00AD77A7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1.008.400,18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9135A" w14:textId="77777777" w:rsidR="00302F19" w:rsidRPr="00302F19" w:rsidRDefault="00302F19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19.323,28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80603" w14:textId="77777777" w:rsidR="00302F19" w:rsidRPr="00302F19" w:rsidRDefault="00302F19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220.182,06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B8246" w14:textId="77777777" w:rsidR="00302F19" w:rsidRPr="00302F19" w:rsidRDefault="00302F19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58.696,87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18175" w14:textId="77777777" w:rsidR="00302F19" w:rsidRPr="00302F19" w:rsidRDefault="00302F19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87.356,57</w:t>
            </w:r>
          </w:p>
        </w:tc>
        <w:tc>
          <w:tcPr>
            <w:tcW w:w="222" w:type="dxa"/>
            <w:vAlign w:val="center"/>
            <w:hideMark/>
          </w:tcPr>
          <w:p w14:paraId="73705106" w14:textId="77777777" w:rsidR="00302F19" w:rsidRPr="00302F19" w:rsidRDefault="00302F19" w:rsidP="00302F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302F19" w:rsidRPr="00302F19" w14:paraId="2907BCB4" w14:textId="77777777" w:rsidTr="00302F19">
        <w:trPr>
          <w:trHeight w:val="310"/>
        </w:trPr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EBF1B" w14:textId="77777777" w:rsidR="00302F19" w:rsidRPr="00302F19" w:rsidRDefault="00302F19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671F0" w14:textId="77777777" w:rsidR="00302F19" w:rsidRPr="00302F19" w:rsidRDefault="00302F19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1.027.731,34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DB2DE" w14:textId="482AE78F" w:rsidR="00302F19" w:rsidRPr="00302F19" w:rsidRDefault="00AD77A7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1.438.208,18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3CEB5" w14:textId="77777777" w:rsidR="00302F19" w:rsidRPr="00302F19" w:rsidRDefault="00302F19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213.314,83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DCA7F" w14:textId="77777777" w:rsidR="00302F19" w:rsidRPr="00302F19" w:rsidRDefault="00302F19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773.666,60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E54B0" w14:textId="77777777" w:rsidR="00302F19" w:rsidRPr="00302F19" w:rsidRDefault="00302F19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40.749,91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3A2A8" w14:textId="77777777" w:rsidR="00302F19" w:rsidRPr="00302F19" w:rsidRDefault="00302F19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62.232,61</w:t>
            </w:r>
          </w:p>
        </w:tc>
        <w:tc>
          <w:tcPr>
            <w:tcW w:w="222" w:type="dxa"/>
            <w:vAlign w:val="center"/>
            <w:hideMark/>
          </w:tcPr>
          <w:p w14:paraId="0DC3BBC9" w14:textId="77777777" w:rsidR="00302F19" w:rsidRPr="00302F19" w:rsidRDefault="00302F19" w:rsidP="00302F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14:paraId="097608DB" w14:textId="77777777" w:rsidR="00AD77A7" w:rsidRDefault="00AD77A7" w:rsidP="00636131">
      <w:pPr>
        <w:rPr>
          <w:rFonts w:ascii="Arial" w:hAnsi="Arial" w:cs="Arial"/>
          <w:b/>
          <w:i/>
          <w:sz w:val="20"/>
          <w:szCs w:val="20"/>
        </w:rPr>
      </w:pPr>
    </w:p>
    <w:p w14:paraId="06EF3D37" w14:textId="77777777" w:rsidR="00C7205E" w:rsidRDefault="00AD77A7" w:rsidP="00036AC9">
      <w:pPr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64165700" wp14:editId="78B247DD">
            <wp:extent cx="5429250" cy="3581401"/>
            <wp:effectExtent l="0" t="0" r="0" b="0"/>
            <wp:docPr id="27023592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CFE9C2C" w14:textId="39B8F080" w:rsidR="00760997" w:rsidRPr="00C7205E" w:rsidRDefault="00760997" w:rsidP="00036AC9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D25992">
        <w:rPr>
          <w:rFonts w:ascii="Arial" w:hAnsi="Arial" w:cs="Arial"/>
          <w:b/>
          <w:i/>
          <w:sz w:val="20"/>
          <w:szCs w:val="20"/>
          <w:u w:val="single"/>
        </w:rPr>
        <w:lastRenderedPageBreak/>
        <w:t>O rashodima</w:t>
      </w:r>
      <w:r w:rsidRPr="00CE316F">
        <w:rPr>
          <w:rFonts w:ascii="Arial" w:hAnsi="Arial" w:cs="Arial"/>
          <w:b/>
          <w:i/>
          <w:sz w:val="20"/>
          <w:szCs w:val="20"/>
          <w:u w:val="single"/>
        </w:rPr>
        <w:t xml:space="preserve"> i izdacima</w:t>
      </w:r>
      <w:r w:rsidRPr="00CE316F">
        <w:rPr>
          <w:rFonts w:ascii="Arial" w:hAnsi="Arial" w:cs="Arial"/>
          <w:b/>
          <w:sz w:val="20"/>
          <w:szCs w:val="20"/>
          <w:u w:val="single"/>
        </w:rPr>
        <w:t>:</w:t>
      </w:r>
    </w:p>
    <w:p w14:paraId="4EBA3C3E" w14:textId="118AF498" w:rsidR="00760997" w:rsidRPr="00F817DE" w:rsidRDefault="00760997" w:rsidP="00760997">
      <w:pPr>
        <w:jc w:val="both"/>
        <w:rPr>
          <w:rFonts w:ascii="Arial" w:hAnsi="Arial" w:cs="Arial"/>
          <w:sz w:val="18"/>
          <w:szCs w:val="18"/>
        </w:rPr>
      </w:pPr>
      <w:r w:rsidRPr="00F817DE">
        <w:rPr>
          <w:rFonts w:ascii="Arial" w:hAnsi="Arial" w:cs="Arial"/>
          <w:sz w:val="18"/>
          <w:szCs w:val="18"/>
        </w:rPr>
        <w:t xml:space="preserve">Rashodi i izdaci su izvršeni u visini od </w:t>
      </w:r>
      <w:r w:rsidR="00C71BDF" w:rsidRPr="00F817DE">
        <w:rPr>
          <w:rFonts w:ascii="Arial" w:hAnsi="Arial" w:cs="Arial"/>
          <w:sz w:val="18"/>
          <w:szCs w:val="18"/>
        </w:rPr>
        <w:t>2.</w:t>
      </w:r>
      <w:r w:rsidR="00FE5D4C" w:rsidRPr="00F817DE">
        <w:rPr>
          <w:rFonts w:ascii="Arial" w:hAnsi="Arial" w:cs="Arial"/>
          <w:sz w:val="18"/>
          <w:szCs w:val="18"/>
        </w:rPr>
        <w:t>904.440,08</w:t>
      </w:r>
      <w:r w:rsidRPr="00F817DE">
        <w:rPr>
          <w:rFonts w:ascii="Arial" w:hAnsi="Arial" w:cs="Arial"/>
          <w:sz w:val="18"/>
          <w:szCs w:val="18"/>
        </w:rPr>
        <w:t xml:space="preserve"> ili </w:t>
      </w:r>
      <w:r w:rsidR="00FE5D4C" w:rsidRPr="00F817DE">
        <w:rPr>
          <w:rFonts w:ascii="Arial" w:hAnsi="Arial" w:cs="Arial"/>
          <w:sz w:val="18"/>
          <w:szCs w:val="18"/>
        </w:rPr>
        <w:t>21</w:t>
      </w:r>
      <w:r w:rsidRPr="00F817DE">
        <w:rPr>
          <w:rFonts w:ascii="Arial" w:hAnsi="Arial" w:cs="Arial"/>
          <w:sz w:val="18"/>
          <w:szCs w:val="18"/>
        </w:rPr>
        <w:t xml:space="preserve">% u odnosu na planirano a </w:t>
      </w:r>
      <w:r w:rsidR="00C71BDF" w:rsidRPr="00F817DE">
        <w:rPr>
          <w:rFonts w:ascii="Arial" w:hAnsi="Arial" w:cs="Arial"/>
          <w:sz w:val="18"/>
          <w:szCs w:val="18"/>
        </w:rPr>
        <w:t>1</w:t>
      </w:r>
      <w:r w:rsidR="00FE5D4C" w:rsidRPr="00F817DE">
        <w:rPr>
          <w:rFonts w:ascii="Arial" w:hAnsi="Arial" w:cs="Arial"/>
          <w:sz w:val="18"/>
          <w:szCs w:val="18"/>
        </w:rPr>
        <w:t>4</w:t>
      </w:r>
      <w:r w:rsidRPr="00F817DE">
        <w:rPr>
          <w:rFonts w:ascii="Arial" w:hAnsi="Arial" w:cs="Arial"/>
          <w:sz w:val="18"/>
          <w:szCs w:val="18"/>
        </w:rPr>
        <w:t xml:space="preserve">% </w:t>
      </w:r>
      <w:r w:rsidR="00FE5D4C" w:rsidRPr="00F817DE">
        <w:rPr>
          <w:rFonts w:ascii="Arial" w:hAnsi="Arial" w:cs="Arial"/>
          <w:sz w:val="18"/>
          <w:szCs w:val="18"/>
        </w:rPr>
        <w:t>viš</w:t>
      </w:r>
      <w:r w:rsidR="00C71BDF" w:rsidRPr="00F817DE">
        <w:rPr>
          <w:rFonts w:ascii="Arial" w:hAnsi="Arial" w:cs="Arial"/>
          <w:sz w:val="18"/>
          <w:szCs w:val="18"/>
        </w:rPr>
        <w:t>e</w:t>
      </w:r>
      <w:r w:rsidRPr="00F817DE">
        <w:rPr>
          <w:rFonts w:ascii="Arial" w:hAnsi="Arial" w:cs="Arial"/>
          <w:sz w:val="18"/>
          <w:szCs w:val="18"/>
        </w:rPr>
        <w:t xml:space="preserve"> nego u istom razdoblju prethodne godine. Od tog iznosa</w:t>
      </w:r>
      <w:r w:rsidR="00B95EC9" w:rsidRPr="00F817DE">
        <w:rPr>
          <w:rFonts w:ascii="Arial" w:hAnsi="Arial" w:cs="Arial"/>
          <w:sz w:val="18"/>
          <w:szCs w:val="18"/>
        </w:rPr>
        <w:t xml:space="preserve"> </w:t>
      </w:r>
      <w:r w:rsidR="0026367E" w:rsidRPr="00F817DE">
        <w:rPr>
          <w:rFonts w:ascii="Arial" w:eastAsia="Times New Roman" w:hAnsi="Arial" w:cs="Arial"/>
          <w:bCs/>
          <w:iCs/>
          <w:sz w:val="18"/>
          <w:szCs w:val="18"/>
          <w:lang w:eastAsia="hr-HR"/>
        </w:rPr>
        <w:t>965.504,69</w:t>
      </w:r>
      <w:r w:rsidRPr="00F817DE">
        <w:rPr>
          <w:rFonts w:ascii="Arial" w:hAnsi="Arial" w:cs="Arial"/>
          <w:sz w:val="18"/>
          <w:szCs w:val="18"/>
        </w:rPr>
        <w:t xml:space="preserve">  su rashodi ustanova korisnika Proračuna.</w:t>
      </w:r>
      <w:r w:rsidR="00C71BDF" w:rsidRPr="00F817DE">
        <w:rPr>
          <w:rFonts w:ascii="Arial" w:eastAsia="Times New Roman" w:hAnsi="Arial" w:cs="Arial"/>
          <w:b/>
          <w:i/>
          <w:color w:val="000000" w:themeColor="text1"/>
          <w:sz w:val="16"/>
          <w:szCs w:val="16"/>
          <w:lang w:eastAsia="hr-HR"/>
        </w:rPr>
        <w:t xml:space="preserve"> </w:t>
      </w:r>
    </w:p>
    <w:p w14:paraId="59A604E4" w14:textId="1E13A031" w:rsidR="00760997" w:rsidRPr="00F817DE" w:rsidRDefault="00760997" w:rsidP="00760997">
      <w:pPr>
        <w:jc w:val="both"/>
        <w:rPr>
          <w:rFonts w:ascii="Arial" w:hAnsi="Arial" w:cs="Arial"/>
          <w:sz w:val="18"/>
          <w:szCs w:val="18"/>
        </w:rPr>
      </w:pPr>
      <w:r w:rsidRPr="00F817DE">
        <w:rPr>
          <w:rFonts w:ascii="Arial" w:hAnsi="Arial" w:cs="Arial"/>
          <w:b/>
          <w:sz w:val="18"/>
          <w:szCs w:val="18"/>
          <w:u w:val="single"/>
        </w:rPr>
        <w:t>Rashodi poslovanja</w:t>
      </w:r>
      <w:r w:rsidRPr="00F817DE">
        <w:rPr>
          <w:rFonts w:ascii="Arial" w:hAnsi="Arial" w:cs="Arial"/>
          <w:b/>
          <w:sz w:val="18"/>
          <w:szCs w:val="18"/>
        </w:rPr>
        <w:t xml:space="preserve"> (razred 3</w:t>
      </w:r>
      <w:r w:rsidR="00842EFC" w:rsidRPr="00F817DE">
        <w:rPr>
          <w:rFonts w:ascii="Arial" w:hAnsi="Arial" w:cs="Arial"/>
          <w:sz w:val="18"/>
          <w:szCs w:val="18"/>
        </w:rPr>
        <w:t xml:space="preserve">) iznose </w:t>
      </w:r>
      <w:r w:rsidR="00B95EC9" w:rsidRPr="00F817DE">
        <w:rPr>
          <w:rFonts w:ascii="Arial" w:hAnsi="Arial" w:cs="Arial"/>
          <w:sz w:val="18"/>
          <w:szCs w:val="18"/>
        </w:rPr>
        <w:t>2.</w:t>
      </w:r>
      <w:r w:rsidR="00A00EAE" w:rsidRPr="00F817DE">
        <w:rPr>
          <w:rFonts w:ascii="Arial" w:hAnsi="Arial" w:cs="Arial"/>
          <w:sz w:val="18"/>
          <w:szCs w:val="18"/>
        </w:rPr>
        <w:t>252.804,73</w:t>
      </w:r>
      <w:r w:rsidRPr="00F817DE">
        <w:rPr>
          <w:rFonts w:ascii="Arial" w:hAnsi="Arial" w:cs="Arial"/>
          <w:sz w:val="18"/>
          <w:szCs w:val="18"/>
        </w:rPr>
        <w:t xml:space="preserve"> ili </w:t>
      </w:r>
      <w:r w:rsidR="0033493C" w:rsidRPr="00F817DE">
        <w:rPr>
          <w:rFonts w:ascii="Arial" w:hAnsi="Arial" w:cs="Arial"/>
          <w:sz w:val="18"/>
          <w:szCs w:val="18"/>
        </w:rPr>
        <w:t>37</w:t>
      </w:r>
      <w:r w:rsidRPr="00F817DE">
        <w:rPr>
          <w:rFonts w:ascii="Arial" w:hAnsi="Arial" w:cs="Arial"/>
          <w:sz w:val="18"/>
          <w:szCs w:val="18"/>
        </w:rPr>
        <w:t>% od planiranog</w:t>
      </w:r>
      <w:r w:rsidR="000F4158" w:rsidRPr="00F817DE">
        <w:rPr>
          <w:rFonts w:ascii="Arial" w:hAnsi="Arial" w:cs="Arial"/>
          <w:sz w:val="18"/>
          <w:szCs w:val="18"/>
        </w:rPr>
        <w:t>,</w:t>
      </w:r>
      <w:r w:rsidRPr="00F817DE">
        <w:rPr>
          <w:rFonts w:ascii="Arial" w:hAnsi="Arial" w:cs="Arial"/>
          <w:sz w:val="18"/>
          <w:szCs w:val="18"/>
        </w:rPr>
        <w:t xml:space="preserve"> a </w:t>
      </w:r>
      <w:r w:rsidR="0033493C" w:rsidRPr="00F817DE">
        <w:rPr>
          <w:rFonts w:ascii="Arial" w:hAnsi="Arial" w:cs="Arial"/>
          <w:sz w:val="18"/>
          <w:szCs w:val="18"/>
        </w:rPr>
        <w:t>4</w:t>
      </w:r>
      <w:r w:rsidRPr="00F817DE">
        <w:rPr>
          <w:rFonts w:ascii="Arial" w:hAnsi="Arial" w:cs="Arial"/>
          <w:sz w:val="18"/>
          <w:szCs w:val="18"/>
        </w:rPr>
        <w:t xml:space="preserve">% </w:t>
      </w:r>
      <w:r w:rsidR="00DC4E34" w:rsidRPr="00F817DE">
        <w:rPr>
          <w:rFonts w:ascii="Arial" w:hAnsi="Arial" w:cs="Arial"/>
          <w:sz w:val="18"/>
          <w:szCs w:val="18"/>
        </w:rPr>
        <w:t>više</w:t>
      </w:r>
      <w:r w:rsidRPr="00F817DE">
        <w:rPr>
          <w:rFonts w:ascii="Arial" w:hAnsi="Arial" w:cs="Arial"/>
          <w:sz w:val="18"/>
          <w:szCs w:val="18"/>
        </w:rPr>
        <w:t xml:space="preserve"> nego u istom razdoblju prethodne godine.</w:t>
      </w:r>
      <w:r w:rsidR="00845D05">
        <w:rPr>
          <w:rFonts w:ascii="Arial" w:hAnsi="Arial" w:cs="Arial"/>
          <w:sz w:val="18"/>
          <w:szCs w:val="18"/>
        </w:rPr>
        <w:t xml:space="preserve"> Rashodi korisnika proračuna ovog razreda iznose 931.210,70.</w:t>
      </w:r>
      <w:r w:rsidRPr="00F817DE">
        <w:rPr>
          <w:rFonts w:ascii="Arial" w:hAnsi="Arial" w:cs="Arial"/>
          <w:sz w:val="18"/>
          <w:szCs w:val="18"/>
        </w:rPr>
        <w:t xml:space="preserve"> </w:t>
      </w:r>
    </w:p>
    <w:p w14:paraId="5F35AB86" w14:textId="2156FE3C" w:rsidR="00C405BF" w:rsidRPr="00F817DE" w:rsidRDefault="00760997" w:rsidP="00C405BF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F817DE">
        <w:rPr>
          <w:rFonts w:ascii="Arial" w:hAnsi="Arial" w:cs="Arial"/>
          <w:b/>
          <w:sz w:val="18"/>
          <w:szCs w:val="18"/>
          <w:u w:val="single"/>
        </w:rPr>
        <w:t>Rashodi za nabavu nefinancijske imovine</w:t>
      </w:r>
      <w:r w:rsidRPr="00F817DE">
        <w:rPr>
          <w:rFonts w:ascii="Arial" w:hAnsi="Arial" w:cs="Arial"/>
          <w:sz w:val="18"/>
          <w:szCs w:val="18"/>
          <w:u w:val="single"/>
        </w:rPr>
        <w:t xml:space="preserve"> </w:t>
      </w:r>
      <w:r w:rsidRPr="00F817DE">
        <w:rPr>
          <w:rFonts w:ascii="Arial" w:hAnsi="Arial" w:cs="Arial"/>
          <w:b/>
          <w:sz w:val="18"/>
          <w:szCs w:val="18"/>
          <w:u w:val="single"/>
        </w:rPr>
        <w:t>(razred 4)</w:t>
      </w:r>
      <w:r w:rsidRPr="00F817DE">
        <w:rPr>
          <w:rFonts w:ascii="Arial" w:hAnsi="Arial" w:cs="Arial"/>
          <w:sz w:val="18"/>
          <w:szCs w:val="18"/>
        </w:rPr>
        <w:t xml:space="preserve"> ostvareni su u iznosu od </w:t>
      </w:r>
      <w:r w:rsidR="0033493C" w:rsidRPr="00F817DE">
        <w:rPr>
          <w:rFonts w:ascii="Arial" w:hAnsi="Arial" w:cs="Arial"/>
          <w:sz w:val="18"/>
          <w:szCs w:val="18"/>
        </w:rPr>
        <w:t>465.138,95</w:t>
      </w:r>
      <w:r w:rsidR="00B62C58" w:rsidRPr="00F817DE">
        <w:rPr>
          <w:rFonts w:ascii="Arial" w:hAnsi="Arial" w:cs="Arial"/>
          <w:sz w:val="18"/>
          <w:szCs w:val="18"/>
        </w:rPr>
        <w:t xml:space="preserve"> </w:t>
      </w:r>
      <w:r w:rsidRPr="00F817DE">
        <w:rPr>
          <w:rFonts w:ascii="Arial" w:hAnsi="Arial" w:cs="Arial"/>
          <w:sz w:val="18"/>
          <w:szCs w:val="18"/>
        </w:rPr>
        <w:t xml:space="preserve">ili </w:t>
      </w:r>
      <w:r w:rsidR="0033493C" w:rsidRPr="00F817DE">
        <w:rPr>
          <w:rFonts w:ascii="Arial" w:hAnsi="Arial" w:cs="Arial"/>
          <w:sz w:val="18"/>
          <w:szCs w:val="18"/>
        </w:rPr>
        <w:t>6</w:t>
      </w:r>
      <w:r w:rsidR="003D634A" w:rsidRPr="00F817DE">
        <w:rPr>
          <w:rFonts w:ascii="Arial" w:hAnsi="Arial" w:cs="Arial"/>
          <w:sz w:val="18"/>
          <w:szCs w:val="18"/>
        </w:rPr>
        <w:t>%</w:t>
      </w:r>
      <w:r w:rsidRPr="00F817DE">
        <w:rPr>
          <w:rFonts w:ascii="Arial" w:hAnsi="Arial" w:cs="Arial"/>
          <w:sz w:val="18"/>
          <w:szCs w:val="18"/>
        </w:rPr>
        <w:t xml:space="preserve"> od plana a </w:t>
      </w:r>
      <w:r w:rsidR="0033493C" w:rsidRPr="00F817DE">
        <w:rPr>
          <w:rFonts w:ascii="Arial" w:hAnsi="Arial" w:cs="Arial"/>
          <w:sz w:val="18"/>
          <w:szCs w:val="18"/>
        </w:rPr>
        <w:t>29</w:t>
      </w:r>
      <w:r w:rsidRPr="00F817DE">
        <w:rPr>
          <w:rFonts w:ascii="Arial" w:hAnsi="Arial" w:cs="Arial"/>
          <w:sz w:val="18"/>
          <w:szCs w:val="18"/>
        </w:rPr>
        <w:t xml:space="preserve">% </w:t>
      </w:r>
      <w:r w:rsidR="0033493C" w:rsidRPr="00F817DE">
        <w:rPr>
          <w:rFonts w:ascii="Arial" w:hAnsi="Arial" w:cs="Arial"/>
          <w:sz w:val="18"/>
          <w:szCs w:val="18"/>
        </w:rPr>
        <w:t>viš</w:t>
      </w:r>
      <w:r w:rsidR="001B29BF" w:rsidRPr="00F817DE">
        <w:rPr>
          <w:rFonts w:ascii="Arial" w:hAnsi="Arial" w:cs="Arial"/>
          <w:sz w:val="18"/>
          <w:szCs w:val="18"/>
        </w:rPr>
        <w:t>e</w:t>
      </w:r>
      <w:r w:rsidRPr="00F817DE">
        <w:rPr>
          <w:rFonts w:ascii="Arial" w:hAnsi="Arial" w:cs="Arial"/>
          <w:sz w:val="18"/>
          <w:szCs w:val="18"/>
        </w:rPr>
        <w:t xml:space="preserve"> nego u istom razdoblju prethodne godine.</w:t>
      </w:r>
      <w:r w:rsidRPr="00F817DE">
        <w:rPr>
          <w:rFonts w:ascii="Arial" w:hAnsi="Arial" w:cs="Arial"/>
          <w:color w:val="FF0000"/>
          <w:sz w:val="18"/>
          <w:szCs w:val="18"/>
        </w:rPr>
        <w:t xml:space="preserve"> </w:t>
      </w:r>
    </w:p>
    <w:p w14:paraId="09E09105" w14:textId="3ECD25F3" w:rsidR="001B29BF" w:rsidRPr="00F817DE" w:rsidRDefault="00DF6253" w:rsidP="00C405BF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F817DE">
        <w:rPr>
          <w:rFonts w:ascii="Arial" w:hAnsi="Arial" w:cs="Arial"/>
          <w:sz w:val="18"/>
          <w:szCs w:val="18"/>
        </w:rPr>
        <w:t>Ovi rashodi se</w:t>
      </w:r>
      <w:r w:rsidR="00C405BF" w:rsidRPr="00F817DE">
        <w:rPr>
          <w:rFonts w:ascii="Arial" w:hAnsi="Arial" w:cs="Arial"/>
          <w:sz w:val="18"/>
          <w:szCs w:val="18"/>
        </w:rPr>
        <w:t xml:space="preserve"> </w:t>
      </w:r>
      <w:r w:rsidR="00760997" w:rsidRPr="00F817DE">
        <w:rPr>
          <w:rFonts w:ascii="Arial" w:hAnsi="Arial" w:cs="Arial"/>
          <w:sz w:val="18"/>
          <w:szCs w:val="18"/>
        </w:rPr>
        <w:t>odnose na</w:t>
      </w:r>
      <w:r w:rsidR="001B29BF" w:rsidRPr="00F817DE">
        <w:rPr>
          <w:rFonts w:ascii="Arial" w:hAnsi="Arial" w:cs="Arial"/>
          <w:sz w:val="18"/>
          <w:szCs w:val="18"/>
        </w:rPr>
        <w:t xml:space="preserve">: </w:t>
      </w:r>
    </w:p>
    <w:p w14:paraId="2457DA5C" w14:textId="486DD5D9" w:rsidR="001B29BF" w:rsidRPr="00F817DE" w:rsidRDefault="003A299F" w:rsidP="001B29B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817DE">
        <w:rPr>
          <w:rFonts w:ascii="Arial" w:hAnsi="Arial" w:cs="Arial"/>
          <w:sz w:val="18"/>
          <w:szCs w:val="18"/>
        </w:rPr>
        <w:t>rekonstrukciju dječjeg vrtiša i škole Čara 198.646,48</w:t>
      </w:r>
      <w:r w:rsidR="001B29BF" w:rsidRPr="00F817DE">
        <w:rPr>
          <w:rFonts w:ascii="Arial" w:hAnsi="Arial" w:cs="Arial"/>
          <w:sz w:val="18"/>
          <w:szCs w:val="18"/>
        </w:rPr>
        <w:t xml:space="preserve">, </w:t>
      </w:r>
    </w:p>
    <w:p w14:paraId="4CEB23A3" w14:textId="00E75847" w:rsidR="001B29BF" w:rsidRPr="00F817DE" w:rsidRDefault="00EA6865" w:rsidP="001B29B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817DE">
        <w:rPr>
          <w:rFonts w:ascii="Arial" w:hAnsi="Arial" w:cs="Arial"/>
          <w:sz w:val="18"/>
          <w:szCs w:val="18"/>
        </w:rPr>
        <w:t>u</w:t>
      </w:r>
      <w:r w:rsidR="000C210D" w:rsidRPr="00F817DE">
        <w:rPr>
          <w:rFonts w:ascii="Arial" w:hAnsi="Arial" w:cs="Arial"/>
          <w:sz w:val="18"/>
          <w:szCs w:val="18"/>
        </w:rPr>
        <w:t>ređenje</w:t>
      </w:r>
      <w:r w:rsidR="003A299F" w:rsidRPr="00F817DE">
        <w:rPr>
          <w:rFonts w:ascii="Arial" w:hAnsi="Arial" w:cs="Arial"/>
          <w:sz w:val="18"/>
          <w:szCs w:val="18"/>
        </w:rPr>
        <w:t xml:space="preserve"> rasvjete</w:t>
      </w:r>
      <w:r w:rsidR="000C210D" w:rsidRPr="00F817DE">
        <w:rPr>
          <w:rFonts w:ascii="Arial" w:hAnsi="Arial" w:cs="Arial"/>
          <w:sz w:val="18"/>
          <w:szCs w:val="18"/>
        </w:rPr>
        <w:t xml:space="preserve"> kino-sale Liburna </w:t>
      </w:r>
      <w:r w:rsidR="003A299F" w:rsidRPr="00F817DE">
        <w:rPr>
          <w:rFonts w:ascii="Arial" w:hAnsi="Arial" w:cs="Arial"/>
          <w:sz w:val="18"/>
          <w:szCs w:val="18"/>
        </w:rPr>
        <w:t>6.824,86</w:t>
      </w:r>
      <w:r w:rsidR="001B29BF" w:rsidRPr="00F817DE">
        <w:rPr>
          <w:rFonts w:ascii="Arial" w:hAnsi="Arial" w:cs="Arial"/>
          <w:sz w:val="18"/>
          <w:szCs w:val="18"/>
        </w:rPr>
        <w:t xml:space="preserve">, </w:t>
      </w:r>
    </w:p>
    <w:p w14:paraId="62D17A10" w14:textId="79045FB9" w:rsidR="001B29BF" w:rsidRPr="00F817DE" w:rsidRDefault="003A299F" w:rsidP="001B29B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817DE">
        <w:rPr>
          <w:rFonts w:ascii="Arial" w:hAnsi="Arial" w:cs="Arial"/>
          <w:sz w:val="18"/>
          <w:szCs w:val="18"/>
        </w:rPr>
        <w:t>opremu i kamere na parkiralištima i prometu 146.722,96</w:t>
      </w:r>
      <w:r w:rsidR="001B29BF" w:rsidRPr="00F817DE">
        <w:rPr>
          <w:rFonts w:ascii="Arial" w:hAnsi="Arial" w:cs="Arial"/>
          <w:sz w:val="18"/>
          <w:szCs w:val="18"/>
        </w:rPr>
        <w:t>,</w:t>
      </w:r>
    </w:p>
    <w:p w14:paraId="23821ECF" w14:textId="3E22F602" w:rsidR="003A299F" w:rsidRPr="00F817DE" w:rsidRDefault="003A299F" w:rsidP="001B29B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817DE">
        <w:rPr>
          <w:rFonts w:ascii="Arial" w:hAnsi="Arial" w:cs="Arial"/>
          <w:sz w:val="18"/>
          <w:szCs w:val="18"/>
        </w:rPr>
        <w:t>klupe na javnim površinama 13.277,90,</w:t>
      </w:r>
    </w:p>
    <w:p w14:paraId="14D6E840" w14:textId="5DE52757" w:rsidR="005A7C39" w:rsidRPr="00F817DE" w:rsidRDefault="003A299F" w:rsidP="001B29B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817DE">
        <w:rPr>
          <w:rFonts w:ascii="Arial" w:hAnsi="Arial" w:cs="Arial"/>
          <w:sz w:val="18"/>
          <w:szCs w:val="18"/>
        </w:rPr>
        <w:t>ostalu opremu, namještaj</w:t>
      </w:r>
      <w:r w:rsidR="005A7C39" w:rsidRPr="00F817DE">
        <w:rPr>
          <w:rFonts w:ascii="Arial" w:hAnsi="Arial" w:cs="Arial"/>
          <w:sz w:val="18"/>
          <w:szCs w:val="18"/>
        </w:rPr>
        <w:t>,</w:t>
      </w:r>
      <w:r w:rsidRPr="00F817DE">
        <w:rPr>
          <w:rFonts w:ascii="Arial" w:hAnsi="Arial" w:cs="Arial"/>
          <w:sz w:val="18"/>
          <w:szCs w:val="18"/>
        </w:rPr>
        <w:t xml:space="preserve"> računala 2</w:t>
      </w:r>
      <w:r w:rsidR="00D62560" w:rsidRPr="00F817DE">
        <w:rPr>
          <w:rFonts w:ascii="Arial" w:hAnsi="Arial" w:cs="Arial"/>
          <w:sz w:val="18"/>
          <w:szCs w:val="18"/>
        </w:rPr>
        <w:t>3.841,39</w:t>
      </w:r>
      <w:r w:rsidRPr="00F817DE">
        <w:rPr>
          <w:rFonts w:ascii="Arial" w:hAnsi="Arial" w:cs="Arial"/>
          <w:sz w:val="18"/>
          <w:szCs w:val="18"/>
        </w:rPr>
        <w:t>,</w:t>
      </w:r>
    </w:p>
    <w:p w14:paraId="302803DF" w14:textId="4EFC671D" w:rsidR="000C210D" w:rsidRPr="00F817DE" w:rsidRDefault="000C210D" w:rsidP="001B29B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817DE">
        <w:rPr>
          <w:rFonts w:ascii="Arial" w:hAnsi="Arial" w:cs="Arial"/>
          <w:sz w:val="18"/>
          <w:szCs w:val="18"/>
        </w:rPr>
        <w:t xml:space="preserve">javnu rasvjetu </w:t>
      </w:r>
      <w:r w:rsidR="008C53C8" w:rsidRPr="00F817DE">
        <w:rPr>
          <w:rFonts w:ascii="Arial" w:hAnsi="Arial" w:cs="Arial"/>
          <w:sz w:val="18"/>
          <w:szCs w:val="18"/>
        </w:rPr>
        <w:t>1.699,50</w:t>
      </w:r>
      <w:r w:rsidRPr="00F817DE">
        <w:rPr>
          <w:rFonts w:ascii="Arial" w:hAnsi="Arial" w:cs="Arial"/>
          <w:sz w:val="18"/>
          <w:szCs w:val="18"/>
        </w:rPr>
        <w:t>,</w:t>
      </w:r>
    </w:p>
    <w:p w14:paraId="354E62E8" w14:textId="62722B3E" w:rsidR="008C53C8" w:rsidRPr="00F817DE" w:rsidRDefault="008C53C8" w:rsidP="001B29B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817DE">
        <w:rPr>
          <w:rFonts w:ascii="Arial" w:hAnsi="Arial" w:cs="Arial"/>
          <w:sz w:val="18"/>
          <w:szCs w:val="18"/>
        </w:rPr>
        <w:t>aglomeraciju 21.673,82</w:t>
      </w:r>
      <w:r w:rsidR="00D62560" w:rsidRPr="00F817DE">
        <w:rPr>
          <w:rFonts w:ascii="Arial" w:hAnsi="Arial" w:cs="Arial"/>
          <w:sz w:val="18"/>
          <w:szCs w:val="18"/>
        </w:rPr>
        <w:t>,</w:t>
      </w:r>
    </w:p>
    <w:p w14:paraId="68B217FE" w14:textId="5A5B5E95" w:rsidR="00D62560" w:rsidRPr="00F817DE" w:rsidRDefault="00D62560" w:rsidP="001B29B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817DE">
        <w:rPr>
          <w:rFonts w:ascii="Arial" w:hAnsi="Arial" w:cs="Arial"/>
          <w:sz w:val="18"/>
          <w:szCs w:val="18"/>
        </w:rPr>
        <w:t>knjige u knjižnici 16.574,73 i</w:t>
      </w:r>
    </w:p>
    <w:p w14:paraId="17275BFD" w14:textId="3E7701A2" w:rsidR="007F5459" w:rsidRPr="00F817DE" w:rsidRDefault="007F5459" w:rsidP="007A328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817DE">
        <w:rPr>
          <w:rFonts w:ascii="Arial" w:hAnsi="Arial" w:cs="Arial"/>
          <w:sz w:val="18"/>
          <w:szCs w:val="18"/>
        </w:rPr>
        <w:t xml:space="preserve">razna dokumentacija za ceste, </w:t>
      </w:r>
      <w:r w:rsidR="00AD417E" w:rsidRPr="00F817DE">
        <w:rPr>
          <w:rFonts w:ascii="Arial" w:hAnsi="Arial" w:cs="Arial"/>
          <w:sz w:val="18"/>
          <w:szCs w:val="18"/>
        </w:rPr>
        <w:t xml:space="preserve">šume i </w:t>
      </w:r>
      <w:r w:rsidRPr="00F817DE">
        <w:rPr>
          <w:rFonts w:ascii="Arial" w:hAnsi="Arial" w:cs="Arial"/>
          <w:sz w:val="18"/>
          <w:szCs w:val="18"/>
        </w:rPr>
        <w:t>parkove,</w:t>
      </w:r>
      <w:r w:rsidR="00AD417E" w:rsidRPr="00F817DE">
        <w:rPr>
          <w:rFonts w:ascii="Arial" w:hAnsi="Arial" w:cs="Arial"/>
          <w:sz w:val="18"/>
          <w:szCs w:val="18"/>
        </w:rPr>
        <w:t xml:space="preserve"> </w:t>
      </w:r>
      <w:r w:rsidRPr="00F817DE">
        <w:rPr>
          <w:rFonts w:ascii="Arial" w:hAnsi="Arial" w:cs="Arial"/>
          <w:sz w:val="18"/>
          <w:szCs w:val="18"/>
        </w:rPr>
        <w:t>parkirališta, poslovne prostore</w:t>
      </w:r>
      <w:r w:rsidR="00AD417E" w:rsidRPr="00F817DE">
        <w:rPr>
          <w:rFonts w:ascii="Arial" w:hAnsi="Arial" w:cs="Arial"/>
          <w:sz w:val="18"/>
          <w:szCs w:val="18"/>
        </w:rPr>
        <w:t xml:space="preserve"> 35.877,31.</w:t>
      </w:r>
    </w:p>
    <w:p w14:paraId="695344EF" w14:textId="35C12B95" w:rsidR="00760997" w:rsidRPr="00F817DE" w:rsidRDefault="00760997" w:rsidP="00760997">
      <w:pPr>
        <w:jc w:val="both"/>
        <w:rPr>
          <w:rFonts w:ascii="Arial" w:hAnsi="Arial" w:cs="Arial"/>
          <w:sz w:val="18"/>
          <w:szCs w:val="18"/>
        </w:rPr>
      </w:pPr>
      <w:r w:rsidRPr="00F817DE">
        <w:rPr>
          <w:rFonts w:ascii="Arial" w:hAnsi="Arial" w:cs="Arial"/>
          <w:sz w:val="18"/>
          <w:szCs w:val="18"/>
        </w:rPr>
        <w:t>Na ustanove korisnike Proračuna</w:t>
      </w:r>
      <w:r w:rsidR="00F966B1" w:rsidRPr="00F817DE">
        <w:rPr>
          <w:rFonts w:ascii="Arial" w:hAnsi="Arial" w:cs="Arial"/>
          <w:sz w:val="18"/>
          <w:szCs w:val="18"/>
        </w:rPr>
        <w:t>, u ovom razredu rashoda,</w:t>
      </w:r>
      <w:r w:rsidRPr="00F817DE">
        <w:rPr>
          <w:rFonts w:ascii="Arial" w:hAnsi="Arial" w:cs="Arial"/>
          <w:sz w:val="18"/>
          <w:szCs w:val="18"/>
        </w:rPr>
        <w:t xml:space="preserve"> odnosi se </w:t>
      </w:r>
      <w:r w:rsidR="003D620F" w:rsidRPr="00F817DE">
        <w:rPr>
          <w:rFonts w:ascii="Arial" w:hAnsi="Arial" w:cs="Arial"/>
          <w:sz w:val="18"/>
          <w:szCs w:val="18"/>
        </w:rPr>
        <w:t>34.293,99</w:t>
      </w:r>
      <w:r w:rsidR="00DE0C2F" w:rsidRPr="00F817DE">
        <w:rPr>
          <w:rFonts w:ascii="Arial" w:hAnsi="Arial" w:cs="Arial"/>
          <w:sz w:val="18"/>
          <w:szCs w:val="18"/>
        </w:rPr>
        <w:t xml:space="preserve">. </w:t>
      </w:r>
    </w:p>
    <w:p w14:paraId="6ECA5580" w14:textId="13F391CC" w:rsidR="005F13D1" w:rsidRPr="00020419" w:rsidRDefault="00760997" w:rsidP="00020419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817DE">
        <w:rPr>
          <w:rFonts w:ascii="Arial" w:hAnsi="Arial" w:cs="Arial"/>
          <w:b/>
          <w:sz w:val="18"/>
          <w:szCs w:val="18"/>
          <w:u w:val="single"/>
        </w:rPr>
        <w:t>Izdaci za financijsku imovinu i otplate zajmova</w:t>
      </w:r>
      <w:r w:rsidRPr="00F817DE">
        <w:rPr>
          <w:rFonts w:ascii="Arial" w:hAnsi="Arial" w:cs="Arial"/>
          <w:b/>
          <w:sz w:val="18"/>
          <w:szCs w:val="18"/>
        </w:rPr>
        <w:t xml:space="preserve"> (razred 5)</w:t>
      </w:r>
      <w:r w:rsidRPr="00F817DE">
        <w:rPr>
          <w:rFonts w:ascii="Arial" w:hAnsi="Arial" w:cs="Arial"/>
          <w:sz w:val="18"/>
          <w:szCs w:val="18"/>
        </w:rPr>
        <w:t xml:space="preserve"> iznose </w:t>
      </w:r>
      <w:r w:rsidR="005A54D8" w:rsidRPr="00F817DE">
        <w:rPr>
          <w:rFonts w:ascii="Arial" w:hAnsi="Arial" w:cs="Arial"/>
          <w:sz w:val="18"/>
          <w:szCs w:val="18"/>
        </w:rPr>
        <w:t>186.496,40</w:t>
      </w:r>
      <w:r w:rsidRPr="00F817DE">
        <w:rPr>
          <w:rFonts w:ascii="Arial" w:hAnsi="Arial" w:cs="Arial"/>
          <w:sz w:val="18"/>
          <w:szCs w:val="18"/>
        </w:rPr>
        <w:t xml:space="preserve"> ili </w:t>
      </w:r>
      <w:r w:rsidR="005A54D8" w:rsidRPr="00F817DE">
        <w:rPr>
          <w:rFonts w:ascii="Arial" w:hAnsi="Arial" w:cs="Arial"/>
          <w:sz w:val="18"/>
          <w:szCs w:val="18"/>
        </w:rPr>
        <w:t>86</w:t>
      </w:r>
      <w:r w:rsidRPr="00F817DE">
        <w:rPr>
          <w:rFonts w:ascii="Arial" w:hAnsi="Arial" w:cs="Arial"/>
          <w:sz w:val="18"/>
          <w:szCs w:val="18"/>
        </w:rPr>
        <w:t>% od planiranog godišnjeg iznosa</w:t>
      </w:r>
      <w:r w:rsidR="00AA104C" w:rsidRPr="00F817DE">
        <w:rPr>
          <w:rFonts w:ascii="Arial" w:hAnsi="Arial" w:cs="Arial"/>
          <w:sz w:val="18"/>
          <w:szCs w:val="18"/>
        </w:rPr>
        <w:t xml:space="preserve"> a </w:t>
      </w:r>
      <w:r w:rsidR="005A54D8" w:rsidRPr="00F817DE">
        <w:rPr>
          <w:rFonts w:ascii="Arial" w:hAnsi="Arial" w:cs="Arial"/>
          <w:sz w:val="18"/>
          <w:szCs w:val="18"/>
        </w:rPr>
        <w:t>477</w:t>
      </w:r>
      <w:r w:rsidR="00AA104C" w:rsidRPr="00F817DE">
        <w:rPr>
          <w:rFonts w:ascii="Arial" w:hAnsi="Arial" w:cs="Arial"/>
          <w:sz w:val="18"/>
          <w:szCs w:val="18"/>
        </w:rPr>
        <w:t xml:space="preserve">% </w:t>
      </w:r>
      <w:r w:rsidR="005A54D8" w:rsidRPr="00F817DE">
        <w:rPr>
          <w:rFonts w:ascii="Arial" w:hAnsi="Arial" w:cs="Arial"/>
          <w:sz w:val="18"/>
          <w:szCs w:val="18"/>
        </w:rPr>
        <w:t>viš</w:t>
      </w:r>
      <w:r w:rsidR="00AA104C" w:rsidRPr="00F817DE">
        <w:rPr>
          <w:rFonts w:ascii="Arial" w:hAnsi="Arial" w:cs="Arial"/>
          <w:sz w:val="18"/>
          <w:szCs w:val="18"/>
        </w:rPr>
        <w:t>e nego u istom razdoblju prethodne</w:t>
      </w:r>
      <w:r w:rsidR="00AA104C">
        <w:rPr>
          <w:rFonts w:ascii="Arial" w:hAnsi="Arial" w:cs="Arial"/>
          <w:sz w:val="18"/>
          <w:szCs w:val="18"/>
        </w:rPr>
        <w:t xml:space="preserve"> godine.</w:t>
      </w:r>
      <w:r w:rsidR="000F4158" w:rsidRPr="00884312">
        <w:rPr>
          <w:rFonts w:ascii="Arial" w:hAnsi="Arial" w:cs="Arial"/>
          <w:sz w:val="18"/>
          <w:szCs w:val="18"/>
        </w:rPr>
        <w:t xml:space="preserve"> O</w:t>
      </w:r>
      <w:r w:rsidRPr="00884312">
        <w:rPr>
          <w:rFonts w:ascii="Arial" w:hAnsi="Arial" w:cs="Arial"/>
          <w:sz w:val="18"/>
          <w:szCs w:val="18"/>
        </w:rPr>
        <w:t>dnose se na otplatu</w:t>
      </w:r>
      <w:r w:rsidR="00AA104C">
        <w:rPr>
          <w:rFonts w:ascii="Arial" w:hAnsi="Arial" w:cs="Arial"/>
          <w:sz w:val="18"/>
          <w:szCs w:val="18"/>
        </w:rPr>
        <w:t xml:space="preserve"> </w:t>
      </w:r>
      <w:r w:rsidR="000F4158" w:rsidRPr="00884312">
        <w:rPr>
          <w:rFonts w:ascii="Arial" w:hAnsi="Arial" w:cs="Arial"/>
          <w:sz w:val="18"/>
          <w:szCs w:val="18"/>
        </w:rPr>
        <w:t>dugoročn</w:t>
      </w:r>
      <w:r w:rsidR="006D6E09">
        <w:rPr>
          <w:rFonts w:ascii="Arial" w:hAnsi="Arial" w:cs="Arial"/>
          <w:sz w:val="18"/>
          <w:szCs w:val="18"/>
        </w:rPr>
        <w:t>ih</w:t>
      </w:r>
      <w:r w:rsidR="000F4158" w:rsidRPr="00884312">
        <w:rPr>
          <w:rFonts w:ascii="Arial" w:hAnsi="Arial" w:cs="Arial"/>
          <w:sz w:val="18"/>
          <w:szCs w:val="18"/>
        </w:rPr>
        <w:t xml:space="preserve"> kredita</w:t>
      </w:r>
      <w:r w:rsidR="000F4158" w:rsidRPr="000F4158">
        <w:rPr>
          <w:rFonts w:ascii="Arial" w:hAnsi="Arial" w:cs="Arial"/>
          <w:sz w:val="18"/>
          <w:szCs w:val="18"/>
        </w:rPr>
        <w:t xml:space="preserve"> HBOR-a za Projekte Grada</w:t>
      </w:r>
      <w:r w:rsidR="006D6E09">
        <w:rPr>
          <w:rFonts w:ascii="Arial" w:hAnsi="Arial" w:cs="Arial"/>
          <w:sz w:val="18"/>
          <w:szCs w:val="18"/>
        </w:rPr>
        <w:t xml:space="preserve"> i Modernizaciju javne rasvjete 86.496,40 te na otplatu kratkoročne pozajmice KTD Hober d.o.o. u iznosu 100.000.</w:t>
      </w:r>
    </w:p>
    <w:p w14:paraId="041F4B97" w14:textId="512DBBA7" w:rsidR="005F13D1" w:rsidRDefault="00C7205E" w:rsidP="00520CB9">
      <w:pPr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84E8C2" wp14:editId="6A7BD3E8">
            <wp:simplePos x="0" y="0"/>
            <wp:positionH relativeFrom="column">
              <wp:posOffset>0</wp:posOffset>
            </wp:positionH>
            <wp:positionV relativeFrom="paragraph">
              <wp:posOffset>238125</wp:posOffset>
            </wp:positionV>
            <wp:extent cx="5029200" cy="3019424"/>
            <wp:effectExtent l="0" t="0" r="0" b="0"/>
            <wp:wrapSquare wrapText="bothSides"/>
            <wp:docPr id="29316602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11C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14:paraId="034EFEEC" w14:textId="77777777" w:rsidR="005F13D1" w:rsidRDefault="005F13D1" w:rsidP="00520CB9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349E3B42" w14:textId="77777777" w:rsidR="00020419" w:rsidRDefault="00020419" w:rsidP="00520CB9">
      <w:pPr>
        <w:jc w:val="both"/>
        <w:rPr>
          <w:rFonts w:ascii="Arial" w:hAnsi="Arial" w:cs="Arial"/>
          <w:sz w:val="18"/>
          <w:szCs w:val="18"/>
        </w:rPr>
      </w:pPr>
    </w:p>
    <w:p w14:paraId="5BD8E1CF" w14:textId="77777777" w:rsidR="00C7205E" w:rsidRDefault="00C7205E" w:rsidP="00520CB9">
      <w:pPr>
        <w:jc w:val="both"/>
        <w:rPr>
          <w:rFonts w:ascii="Arial" w:hAnsi="Arial" w:cs="Arial"/>
          <w:sz w:val="18"/>
          <w:szCs w:val="18"/>
          <w:highlight w:val="green"/>
        </w:rPr>
      </w:pPr>
    </w:p>
    <w:p w14:paraId="18331529" w14:textId="77777777" w:rsidR="00C7205E" w:rsidRDefault="00C7205E" w:rsidP="00520CB9">
      <w:pPr>
        <w:jc w:val="both"/>
        <w:rPr>
          <w:rFonts w:ascii="Arial" w:hAnsi="Arial" w:cs="Arial"/>
          <w:sz w:val="18"/>
          <w:szCs w:val="18"/>
          <w:highlight w:val="green"/>
        </w:rPr>
      </w:pPr>
    </w:p>
    <w:p w14:paraId="1FE4D492" w14:textId="77777777" w:rsidR="00C7205E" w:rsidRDefault="00C7205E" w:rsidP="00520CB9">
      <w:pPr>
        <w:jc w:val="both"/>
        <w:rPr>
          <w:rFonts w:ascii="Arial" w:hAnsi="Arial" w:cs="Arial"/>
          <w:sz w:val="18"/>
          <w:szCs w:val="18"/>
          <w:highlight w:val="green"/>
        </w:rPr>
      </w:pPr>
    </w:p>
    <w:p w14:paraId="44BC193D" w14:textId="77777777" w:rsidR="00C7205E" w:rsidRDefault="00C7205E" w:rsidP="00520CB9">
      <w:pPr>
        <w:jc w:val="both"/>
        <w:rPr>
          <w:rFonts w:ascii="Arial" w:hAnsi="Arial" w:cs="Arial"/>
          <w:sz w:val="18"/>
          <w:szCs w:val="18"/>
          <w:highlight w:val="green"/>
        </w:rPr>
      </w:pPr>
    </w:p>
    <w:p w14:paraId="33C2EE96" w14:textId="77777777" w:rsidR="00C7205E" w:rsidRDefault="00C7205E" w:rsidP="00520CB9">
      <w:pPr>
        <w:jc w:val="both"/>
        <w:rPr>
          <w:rFonts w:ascii="Arial" w:hAnsi="Arial" w:cs="Arial"/>
          <w:sz w:val="18"/>
          <w:szCs w:val="18"/>
          <w:highlight w:val="green"/>
        </w:rPr>
      </w:pPr>
    </w:p>
    <w:p w14:paraId="52EB0A6A" w14:textId="77777777" w:rsidR="00C7205E" w:rsidRDefault="00C7205E" w:rsidP="00520CB9">
      <w:pPr>
        <w:jc w:val="both"/>
        <w:rPr>
          <w:rFonts w:ascii="Arial" w:hAnsi="Arial" w:cs="Arial"/>
          <w:sz w:val="18"/>
          <w:szCs w:val="18"/>
          <w:highlight w:val="green"/>
        </w:rPr>
      </w:pPr>
    </w:p>
    <w:p w14:paraId="5216EEB5" w14:textId="77777777" w:rsidR="00C7205E" w:rsidRDefault="00C7205E" w:rsidP="00520CB9">
      <w:pPr>
        <w:jc w:val="both"/>
        <w:rPr>
          <w:rFonts w:ascii="Arial" w:hAnsi="Arial" w:cs="Arial"/>
          <w:sz w:val="18"/>
          <w:szCs w:val="18"/>
          <w:highlight w:val="green"/>
        </w:rPr>
      </w:pPr>
    </w:p>
    <w:p w14:paraId="5B4A6C68" w14:textId="77777777" w:rsidR="00C7205E" w:rsidRDefault="00C7205E" w:rsidP="00520CB9">
      <w:pPr>
        <w:jc w:val="both"/>
        <w:rPr>
          <w:rFonts w:ascii="Arial" w:hAnsi="Arial" w:cs="Arial"/>
          <w:sz w:val="18"/>
          <w:szCs w:val="18"/>
          <w:highlight w:val="green"/>
        </w:rPr>
      </w:pPr>
    </w:p>
    <w:p w14:paraId="0957DD68" w14:textId="77777777" w:rsidR="0026367E" w:rsidRDefault="0026367E" w:rsidP="00520CB9">
      <w:pPr>
        <w:jc w:val="both"/>
        <w:rPr>
          <w:rFonts w:ascii="Arial" w:hAnsi="Arial" w:cs="Arial"/>
          <w:sz w:val="18"/>
          <w:szCs w:val="18"/>
          <w:highlight w:val="green"/>
        </w:rPr>
      </w:pPr>
    </w:p>
    <w:p w14:paraId="37EE28BF" w14:textId="1FE4031B" w:rsidR="00520CB9" w:rsidRPr="00F817DE" w:rsidRDefault="00520CB9" w:rsidP="00520CB9">
      <w:pPr>
        <w:jc w:val="both"/>
        <w:rPr>
          <w:rFonts w:ascii="Arial" w:hAnsi="Arial" w:cs="Arial"/>
          <w:sz w:val="16"/>
          <w:szCs w:val="16"/>
        </w:rPr>
      </w:pPr>
      <w:r w:rsidRPr="00F817DE">
        <w:rPr>
          <w:rFonts w:ascii="Arial" w:hAnsi="Arial" w:cs="Arial"/>
          <w:sz w:val="18"/>
          <w:szCs w:val="18"/>
        </w:rPr>
        <w:t xml:space="preserve">Ako usporedimo raspoložive tekuće prihode s izvršenim rashodima u izvještajnom razdoblju, vidimo da su ostvareni prihodi za </w:t>
      </w:r>
      <w:r w:rsidR="0014122C" w:rsidRPr="00F817DE">
        <w:rPr>
          <w:rFonts w:ascii="Arial" w:hAnsi="Arial" w:cs="Arial"/>
          <w:sz w:val="18"/>
          <w:szCs w:val="18"/>
        </w:rPr>
        <w:t>113.065</w:t>
      </w:r>
      <w:r w:rsidRPr="00F817DE">
        <w:rPr>
          <w:rFonts w:ascii="Arial" w:hAnsi="Arial" w:cs="Arial"/>
          <w:sz w:val="18"/>
          <w:szCs w:val="18"/>
        </w:rPr>
        <w:t xml:space="preserve"> manji od rashoda, dok su i</w:t>
      </w:r>
      <w:r w:rsidR="0082669D" w:rsidRPr="00F817DE">
        <w:rPr>
          <w:rFonts w:ascii="Arial" w:hAnsi="Arial" w:cs="Arial"/>
          <w:sz w:val="18"/>
          <w:szCs w:val="18"/>
        </w:rPr>
        <w:t>zdaci</w:t>
      </w:r>
      <w:r w:rsidRPr="00F817DE">
        <w:rPr>
          <w:rFonts w:ascii="Arial" w:hAnsi="Arial" w:cs="Arial"/>
          <w:sz w:val="18"/>
          <w:szCs w:val="18"/>
        </w:rPr>
        <w:t xml:space="preserve"> veći za </w:t>
      </w:r>
      <w:r w:rsidR="0014122C" w:rsidRPr="00F817DE">
        <w:rPr>
          <w:rFonts w:ascii="Arial" w:hAnsi="Arial" w:cs="Arial"/>
          <w:sz w:val="18"/>
          <w:szCs w:val="18"/>
        </w:rPr>
        <w:t>86.496,40</w:t>
      </w:r>
      <w:r w:rsidRPr="00F817DE">
        <w:rPr>
          <w:rFonts w:ascii="Arial" w:hAnsi="Arial" w:cs="Arial"/>
          <w:sz w:val="18"/>
          <w:szCs w:val="18"/>
        </w:rPr>
        <w:t xml:space="preserve"> od </w:t>
      </w:r>
      <w:r w:rsidR="0082669D" w:rsidRPr="00F817DE">
        <w:rPr>
          <w:rFonts w:ascii="Arial" w:hAnsi="Arial" w:cs="Arial"/>
          <w:sz w:val="18"/>
          <w:szCs w:val="18"/>
        </w:rPr>
        <w:t>ostvarenih</w:t>
      </w:r>
      <w:r w:rsidRPr="00F817DE">
        <w:rPr>
          <w:rFonts w:ascii="Arial" w:hAnsi="Arial" w:cs="Arial"/>
          <w:sz w:val="18"/>
          <w:szCs w:val="18"/>
        </w:rPr>
        <w:t xml:space="preserve"> </w:t>
      </w:r>
      <w:r w:rsidR="0082669D" w:rsidRPr="00F817DE">
        <w:rPr>
          <w:rFonts w:ascii="Arial" w:hAnsi="Arial" w:cs="Arial"/>
          <w:sz w:val="18"/>
          <w:szCs w:val="18"/>
        </w:rPr>
        <w:t>primitaka</w:t>
      </w:r>
      <w:r w:rsidRPr="00F817DE">
        <w:rPr>
          <w:rFonts w:ascii="Arial" w:hAnsi="Arial" w:cs="Arial"/>
          <w:sz w:val="18"/>
          <w:szCs w:val="18"/>
        </w:rPr>
        <w:t>.</w:t>
      </w:r>
    </w:p>
    <w:p w14:paraId="14780C12" w14:textId="3AD96F7A" w:rsidR="002E3B4D" w:rsidRPr="00F817DE" w:rsidRDefault="00520CB9" w:rsidP="00520CB9">
      <w:pPr>
        <w:jc w:val="both"/>
        <w:rPr>
          <w:rFonts w:ascii="Arial" w:hAnsi="Arial" w:cs="Arial"/>
          <w:sz w:val="18"/>
          <w:szCs w:val="18"/>
        </w:rPr>
      </w:pPr>
      <w:r w:rsidRPr="00F817DE">
        <w:rPr>
          <w:rFonts w:ascii="Arial" w:hAnsi="Arial" w:cs="Arial"/>
          <w:sz w:val="18"/>
          <w:szCs w:val="18"/>
        </w:rPr>
        <w:t xml:space="preserve">Raspoloživa sredstva iz prethodnih godina predstavljaju ukupni manjak od </w:t>
      </w:r>
      <w:r w:rsidR="0014122C" w:rsidRPr="00F817DE">
        <w:rPr>
          <w:rFonts w:ascii="Arial" w:hAnsi="Arial" w:cs="Arial"/>
          <w:sz w:val="18"/>
          <w:szCs w:val="18"/>
        </w:rPr>
        <w:t>497.173,88</w:t>
      </w:r>
      <w:r w:rsidRPr="00F817DE">
        <w:rPr>
          <w:rFonts w:ascii="Arial" w:hAnsi="Arial" w:cs="Arial"/>
          <w:sz w:val="18"/>
          <w:szCs w:val="18"/>
        </w:rPr>
        <w:t xml:space="preserve"> što je rezultat početnog manjka Grada od </w:t>
      </w:r>
      <w:r w:rsidR="00B657D9" w:rsidRPr="00F817DE">
        <w:rPr>
          <w:rFonts w:ascii="Arial" w:hAnsi="Arial" w:cs="Arial"/>
          <w:sz w:val="18"/>
          <w:szCs w:val="18"/>
        </w:rPr>
        <w:t>53</w:t>
      </w:r>
      <w:r w:rsidR="002C1990" w:rsidRPr="00F817DE">
        <w:rPr>
          <w:rFonts w:ascii="Arial" w:hAnsi="Arial" w:cs="Arial"/>
          <w:sz w:val="18"/>
          <w:szCs w:val="18"/>
        </w:rPr>
        <w:t>7.923,79</w:t>
      </w:r>
      <w:r w:rsidRPr="00F817DE">
        <w:rPr>
          <w:rFonts w:ascii="Arial" w:hAnsi="Arial" w:cs="Arial"/>
          <w:sz w:val="18"/>
          <w:szCs w:val="18"/>
        </w:rPr>
        <w:t xml:space="preserve"> i ukupnog viška kod ustanova korisnika Proračuna od </w:t>
      </w:r>
      <w:r w:rsidR="00524CB3" w:rsidRPr="00F817DE">
        <w:rPr>
          <w:rFonts w:ascii="Arial" w:hAnsi="Arial" w:cs="Arial"/>
          <w:sz w:val="18"/>
          <w:szCs w:val="18"/>
        </w:rPr>
        <w:t>40</w:t>
      </w:r>
      <w:r w:rsidRPr="00F817DE">
        <w:rPr>
          <w:rFonts w:ascii="Arial" w:hAnsi="Arial" w:cs="Arial"/>
          <w:sz w:val="18"/>
          <w:szCs w:val="18"/>
        </w:rPr>
        <w:t>.</w:t>
      </w:r>
      <w:r w:rsidR="00524CB3" w:rsidRPr="00F817DE">
        <w:rPr>
          <w:rFonts w:ascii="Arial" w:hAnsi="Arial" w:cs="Arial"/>
          <w:sz w:val="18"/>
          <w:szCs w:val="18"/>
        </w:rPr>
        <w:t>749,91.</w:t>
      </w:r>
      <w:r w:rsidRPr="00F817DE">
        <w:rPr>
          <w:rFonts w:ascii="Arial" w:hAnsi="Arial" w:cs="Arial"/>
          <w:sz w:val="18"/>
          <w:szCs w:val="18"/>
        </w:rPr>
        <w:t xml:space="preserve"> </w:t>
      </w:r>
    </w:p>
    <w:p w14:paraId="469DEB6C" w14:textId="0E82CF79" w:rsidR="00520CB9" w:rsidRPr="000B4F50" w:rsidRDefault="00520CB9" w:rsidP="00520CB9">
      <w:pPr>
        <w:jc w:val="both"/>
        <w:rPr>
          <w:rFonts w:ascii="Arial" w:hAnsi="Arial" w:cs="Arial"/>
          <w:sz w:val="18"/>
          <w:szCs w:val="18"/>
        </w:rPr>
      </w:pPr>
      <w:r w:rsidRPr="00F817DE">
        <w:rPr>
          <w:rFonts w:ascii="Arial" w:hAnsi="Arial" w:cs="Arial"/>
          <w:sz w:val="18"/>
          <w:szCs w:val="18"/>
        </w:rPr>
        <w:t xml:space="preserve">Ukoliko uračunamo ostvareni manjak prihoda i primitaka iz prvog polugodišta, u ovom izvještajnom razdoblju imamo rezultat od </w:t>
      </w:r>
      <w:r w:rsidR="000A381C" w:rsidRPr="00F817DE">
        <w:rPr>
          <w:rFonts w:ascii="Arial" w:hAnsi="Arial" w:cs="Arial"/>
          <w:sz w:val="18"/>
          <w:szCs w:val="18"/>
        </w:rPr>
        <w:t>696.735,28</w:t>
      </w:r>
      <w:r w:rsidRPr="00F817DE">
        <w:rPr>
          <w:rFonts w:ascii="Arial" w:hAnsi="Arial" w:cs="Arial"/>
          <w:sz w:val="18"/>
          <w:szCs w:val="18"/>
        </w:rPr>
        <w:t xml:space="preserve"> manjka</w:t>
      </w:r>
      <w:r w:rsidR="0082669D" w:rsidRPr="00F817DE">
        <w:rPr>
          <w:rFonts w:ascii="Arial" w:hAnsi="Arial" w:cs="Arial"/>
          <w:sz w:val="18"/>
          <w:szCs w:val="18"/>
        </w:rPr>
        <w:t xml:space="preserve"> prihoda nad rashodima</w:t>
      </w:r>
      <w:r w:rsidR="000A381C" w:rsidRPr="00F817DE">
        <w:rPr>
          <w:rFonts w:ascii="Arial" w:hAnsi="Arial" w:cs="Arial"/>
          <w:sz w:val="18"/>
          <w:szCs w:val="18"/>
        </w:rPr>
        <w:t>, što je</w:t>
      </w:r>
      <w:r w:rsidR="000A381C">
        <w:rPr>
          <w:rFonts w:ascii="Arial" w:hAnsi="Arial" w:cs="Arial"/>
          <w:sz w:val="18"/>
          <w:szCs w:val="18"/>
        </w:rPr>
        <w:t xml:space="preserve"> za 6% manje nego u istom razdoblju prethodne godine.</w:t>
      </w:r>
    </w:p>
    <w:p w14:paraId="335D6561" w14:textId="77777777" w:rsidR="00520CB9" w:rsidRDefault="00520CB9" w:rsidP="00520CB9">
      <w:pPr>
        <w:spacing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58381702" w14:textId="2106F73B" w:rsidR="00520CB9" w:rsidRDefault="00520CB9" w:rsidP="00C405BF">
      <w:pPr>
        <w:jc w:val="both"/>
        <w:rPr>
          <w:rFonts w:ascii="Arial" w:hAnsi="Arial" w:cs="Arial"/>
          <w:b/>
          <w:i/>
          <w:noProof/>
          <w:sz w:val="16"/>
          <w:szCs w:val="16"/>
          <w:highlight w:val="green"/>
          <w:lang w:eastAsia="hr-HR"/>
        </w:rPr>
      </w:pPr>
    </w:p>
    <w:p w14:paraId="234766BB" w14:textId="053CD4AD" w:rsidR="00520CB9" w:rsidRDefault="00520CB9" w:rsidP="00C405BF">
      <w:pPr>
        <w:jc w:val="both"/>
        <w:rPr>
          <w:rFonts w:ascii="Arial" w:hAnsi="Arial" w:cs="Arial"/>
          <w:b/>
          <w:i/>
          <w:noProof/>
          <w:sz w:val="16"/>
          <w:szCs w:val="16"/>
          <w:highlight w:val="green"/>
          <w:lang w:eastAsia="hr-HR"/>
        </w:rPr>
      </w:pPr>
    </w:p>
    <w:p w14:paraId="711030A4" w14:textId="078BFD1E" w:rsidR="00EA6865" w:rsidRDefault="00A36707" w:rsidP="00C405BF">
      <w:pPr>
        <w:jc w:val="both"/>
        <w:rPr>
          <w:rFonts w:ascii="Arial" w:hAnsi="Arial" w:cs="Arial"/>
          <w:b/>
          <w:i/>
          <w:noProof/>
          <w:sz w:val="16"/>
          <w:szCs w:val="16"/>
          <w:highlight w:val="green"/>
          <w:lang w:eastAsia="hr-HR"/>
        </w:rPr>
      </w:pPr>
      <w:r>
        <w:rPr>
          <w:rFonts w:ascii="Arial" w:hAnsi="Arial" w:cs="Arial"/>
          <w:b/>
          <w:i/>
          <w:noProof/>
          <w:sz w:val="16"/>
          <w:szCs w:val="16"/>
          <w:highlight w:val="green"/>
          <w:lang w:eastAsia="hr-HR"/>
        </w:rPr>
        <w:br w:type="textWrapping" w:clear="all"/>
      </w:r>
    </w:p>
    <w:p w14:paraId="28953F72" w14:textId="42E14C47" w:rsidR="0083767D" w:rsidRPr="00C50FB8" w:rsidRDefault="0083767D" w:rsidP="00C405BF">
      <w:pPr>
        <w:jc w:val="both"/>
        <w:rPr>
          <w:rFonts w:ascii="Arial" w:hAnsi="Arial" w:cs="Arial"/>
          <w:sz w:val="16"/>
          <w:szCs w:val="16"/>
        </w:rPr>
      </w:pPr>
      <w:r w:rsidRPr="00F817DE">
        <w:rPr>
          <w:rFonts w:ascii="Arial" w:hAnsi="Arial" w:cs="Arial"/>
          <w:b/>
          <w:i/>
          <w:noProof/>
          <w:sz w:val="16"/>
          <w:szCs w:val="16"/>
          <w:lang w:eastAsia="hr-HR"/>
        </w:rPr>
        <w:t>U izvještajnom razdoblju, rashodi</w:t>
      </w:r>
      <w:r w:rsidRPr="00D311EF">
        <w:rPr>
          <w:rFonts w:ascii="Arial" w:hAnsi="Arial" w:cs="Arial"/>
          <w:b/>
          <w:i/>
          <w:noProof/>
          <w:sz w:val="16"/>
          <w:szCs w:val="16"/>
          <w:lang w:eastAsia="hr-HR"/>
        </w:rPr>
        <w:t xml:space="preserve"> proračunskih korisnika bili su kako slijedi</w:t>
      </w:r>
      <w:r>
        <w:rPr>
          <w:rFonts w:ascii="Arial" w:hAnsi="Arial" w:cs="Arial"/>
          <w:noProof/>
          <w:sz w:val="16"/>
          <w:szCs w:val="16"/>
          <w:lang w:eastAsia="hr-HR"/>
        </w:rPr>
        <w:t>:</w:t>
      </w:r>
    </w:p>
    <w:tbl>
      <w:tblPr>
        <w:tblW w:w="7080" w:type="dxa"/>
        <w:tblInd w:w="118" w:type="dxa"/>
        <w:tblLook w:val="04A0" w:firstRow="1" w:lastRow="0" w:firstColumn="1" w:lastColumn="0" w:noHBand="0" w:noVBand="1"/>
      </w:tblPr>
      <w:tblGrid>
        <w:gridCol w:w="3520"/>
        <w:gridCol w:w="1760"/>
        <w:gridCol w:w="1800"/>
      </w:tblGrid>
      <w:tr w:rsidR="00C548D9" w:rsidRPr="00C548D9" w14:paraId="041D98D2" w14:textId="77777777" w:rsidTr="00C548D9">
        <w:trPr>
          <w:trHeight w:val="300"/>
        </w:trPr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CEDF" w14:textId="77777777" w:rsidR="00C548D9" w:rsidRPr="00C548D9" w:rsidRDefault="00C548D9" w:rsidP="00C548D9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C548D9"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KORISNIK PRORAČUNA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22A4" w14:textId="77777777" w:rsidR="00C548D9" w:rsidRPr="00C548D9" w:rsidRDefault="00C548D9" w:rsidP="00C548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C548D9"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PLAN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DE16B" w14:textId="77777777" w:rsidR="00C548D9" w:rsidRPr="00C548D9" w:rsidRDefault="00C548D9" w:rsidP="00C548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C548D9"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OSTVARENJE</w:t>
            </w:r>
          </w:p>
        </w:tc>
      </w:tr>
      <w:tr w:rsidR="00C548D9" w:rsidRPr="00C548D9" w14:paraId="67BB6634" w14:textId="77777777" w:rsidTr="00C548D9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66AF" w14:textId="77777777" w:rsidR="00C548D9" w:rsidRPr="00C548D9" w:rsidRDefault="00C548D9" w:rsidP="00C548D9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C548D9"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Gradski muzej Korčula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42D6" w14:textId="77777777" w:rsidR="00C548D9" w:rsidRPr="00C548D9" w:rsidRDefault="00C548D9" w:rsidP="00C548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548D9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228.716,00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CB794" w14:textId="77777777" w:rsidR="00C548D9" w:rsidRPr="00C548D9" w:rsidRDefault="00C548D9" w:rsidP="00C548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548D9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110.948,97</w:t>
            </w:r>
          </w:p>
        </w:tc>
      </w:tr>
      <w:tr w:rsidR="00C548D9" w:rsidRPr="00C548D9" w14:paraId="1AB77378" w14:textId="77777777" w:rsidTr="00C548D9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D6FF" w14:textId="77777777" w:rsidR="00C548D9" w:rsidRPr="00C548D9" w:rsidRDefault="00C548D9" w:rsidP="00C548D9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C548D9"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Gradska knjižnica Ivan Vidali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C302" w14:textId="77777777" w:rsidR="00C548D9" w:rsidRPr="00C548D9" w:rsidRDefault="00C548D9" w:rsidP="00C548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548D9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207.551,00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623C7" w14:textId="77777777" w:rsidR="00C548D9" w:rsidRPr="00C548D9" w:rsidRDefault="00C548D9" w:rsidP="00C548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548D9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90.261,20</w:t>
            </w:r>
          </w:p>
        </w:tc>
      </w:tr>
      <w:tr w:rsidR="00C548D9" w:rsidRPr="00C548D9" w14:paraId="032651E7" w14:textId="77777777" w:rsidTr="00C548D9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84D5" w14:textId="77777777" w:rsidR="00C548D9" w:rsidRPr="00C548D9" w:rsidRDefault="00C548D9" w:rsidP="00C548D9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C548D9"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Dječji vrtić Korčula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A8BC" w14:textId="77777777" w:rsidR="00C548D9" w:rsidRPr="00C548D9" w:rsidRDefault="00C548D9" w:rsidP="00C548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548D9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789.355,00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370778" w14:textId="77777777" w:rsidR="00C548D9" w:rsidRPr="00C548D9" w:rsidRDefault="00C548D9" w:rsidP="00C548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548D9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451.422,91</w:t>
            </w:r>
          </w:p>
        </w:tc>
      </w:tr>
      <w:tr w:rsidR="00C548D9" w:rsidRPr="00C548D9" w14:paraId="4E64F508" w14:textId="77777777" w:rsidTr="00C548D9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AD15" w14:textId="77777777" w:rsidR="00C548D9" w:rsidRPr="00C548D9" w:rsidRDefault="00C548D9" w:rsidP="00C548D9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C548D9"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Centar za kulturu Korčula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F83E" w14:textId="77777777" w:rsidR="00C548D9" w:rsidRPr="00C548D9" w:rsidRDefault="00C548D9" w:rsidP="00C548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548D9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228.200,00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C2570" w14:textId="77777777" w:rsidR="00C548D9" w:rsidRPr="00C548D9" w:rsidRDefault="00C548D9" w:rsidP="00C548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548D9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102.025,97</w:t>
            </w:r>
          </w:p>
        </w:tc>
      </w:tr>
      <w:tr w:rsidR="00C548D9" w:rsidRPr="00C548D9" w14:paraId="1E5E29BC" w14:textId="77777777" w:rsidTr="00C548D9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085B" w14:textId="77777777" w:rsidR="00C548D9" w:rsidRPr="00C548D9" w:rsidRDefault="00C548D9" w:rsidP="00C548D9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C548D9"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Ustanova Športski objekti Korčula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335E" w14:textId="77777777" w:rsidR="00C548D9" w:rsidRPr="00C548D9" w:rsidRDefault="00C548D9" w:rsidP="00C548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548D9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1.513.403,33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992B7" w14:textId="77777777" w:rsidR="00C548D9" w:rsidRPr="00C548D9" w:rsidRDefault="00C548D9" w:rsidP="00C548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548D9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210.845,64</w:t>
            </w:r>
          </w:p>
        </w:tc>
      </w:tr>
      <w:tr w:rsidR="00C548D9" w:rsidRPr="00C548D9" w14:paraId="6B539CAF" w14:textId="77777777" w:rsidTr="00C548D9">
        <w:trPr>
          <w:trHeight w:val="315"/>
        </w:trPr>
        <w:tc>
          <w:tcPr>
            <w:tcW w:w="352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CE11" w14:textId="77777777" w:rsidR="00C548D9" w:rsidRPr="00C548D9" w:rsidRDefault="00C548D9" w:rsidP="00C548D9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C548D9"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1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2190" w14:textId="77777777" w:rsidR="00C548D9" w:rsidRPr="00C548D9" w:rsidRDefault="00C548D9" w:rsidP="00C548D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548D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2.967.225,33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584C8" w14:textId="77777777" w:rsidR="00C548D9" w:rsidRPr="00C548D9" w:rsidRDefault="00C548D9" w:rsidP="00C548D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548D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965.504,69</w:t>
            </w:r>
          </w:p>
        </w:tc>
      </w:tr>
    </w:tbl>
    <w:p w14:paraId="4A05DD8F" w14:textId="5D1CCD9E" w:rsidR="00C405BF" w:rsidRDefault="00C405BF" w:rsidP="00760997">
      <w:pPr>
        <w:jc w:val="both"/>
        <w:rPr>
          <w:rFonts w:ascii="Arial" w:hAnsi="Arial" w:cs="Arial"/>
          <w:sz w:val="16"/>
          <w:szCs w:val="16"/>
        </w:rPr>
      </w:pPr>
    </w:p>
    <w:p w14:paraId="62ED363C" w14:textId="77777777" w:rsidR="00C548D9" w:rsidRDefault="00C548D9" w:rsidP="00760997">
      <w:pPr>
        <w:jc w:val="both"/>
        <w:rPr>
          <w:rFonts w:ascii="Arial" w:hAnsi="Arial" w:cs="Arial"/>
          <w:sz w:val="16"/>
          <w:szCs w:val="16"/>
        </w:rPr>
      </w:pPr>
    </w:p>
    <w:p w14:paraId="3526631D" w14:textId="77777777" w:rsidR="00C548D9" w:rsidRDefault="00C548D9" w:rsidP="00760997">
      <w:pPr>
        <w:jc w:val="both"/>
        <w:rPr>
          <w:rFonts w:ascii="Arial" w:hAnsi="Arial" w:cs="Arial"/>
          <w:sz w:val="16"/>
          <w:szCs w:val="16"/>
        </w:rPr>
      </w:pPr>
    </w:p>
    <w:p w14:paraId="35090269" w14:textId="59C0C73F" w:rsidR="00520CB9" w:rsidRDefault="00C548D9" w:rsidP="00760997">
      <w:pPr>
        <w:jc w:val="both"/>
        <w:rPr>
          <w:rFonts w:ascii="Arial" w:hAnsi="Arial" w:cs="Arial"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53A89846" wp14:editId="2B7D5768">
            <wp:extent cx="6538457" cy="3781425"/>
            <wp:effectExtent l="0" t="0" r="0" b="0"/>
            <wp:docPr id="19060668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10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B8FC498" w14:textId="77777777" w:rsidR="00520CB9" w:rsidRDefault="00520CB9" w:rsidP="00760997">
      <w:pPr>
        <w:jc w:val="both"/>
        <w:rPr>
          <w:rFonts w:ascii="Arial" w:hAnsi="Arial" w:cs="Arial"/>
          <w:sz w:val="16"/>
          <w:szCs w:val="16"/>
        </w:rPr>
      </w:pPr>
    </w:p>
    <w:p w14:paraId="39FB1D3A" w14:textId="3AABF2CB" w:rsidR="00760997" w:rsidRPr="00F817DE" w:rsidRDefault="00760997" w:rsidP="005B0802">
      <w:pPr>
        <w:rPr>
          <w:rFonts w:ascii="Arial" w:hAnsi="Arial" w:cs="Arial"/>
          <w:b/>
          <w:i/>
          <w:sz w:val="18"/>
          <w:szCs w:val="18"/>
          <w:u w:val="single"/>
        </w:rPr>
      </w:pPr>
      <w:r w:rsidRPr="00F817DE">
        <w:rPr>
          <w:rFonts w:ascii="Arial" w:hAnsi="Arial" w:cs="Arial"/>
          <w:b/>
          <w:i/>
          <w:sz w:val="20"/>
          <w:szCs w:val="20"/>
          <w:u w:val="single"/>
        </w:rPr>
        <w:t xml:space="preserve">Izvještaj o korištenju proračunske zalihe  </w:t>
      </w:r>
    </w:p>
    <w:p w14:paraId="62DF1642" w14:textId="5B44CF50" w:rsidR="00CE69C8" w:rsidRPr="00F817DE" w:rsidRDefault="009F013C" w:rsidP="00F54D66">
      <w:pPr>
        <w:ind w:right="57"/>
        <w:jc w:val="both"/>
        <w:rPr>
          <w:rFonts w:ascii="Arial" w:hAnsi="Arial" w:cs="Arial"/>
          <w:b/>
          <w:bCs/>
          <w:sz w:val="18"/>
          <w:szCs w:val="18"/>
        </w:rPr>
      </w:pPr>
      <w:r w:rsidRPr="00F817DE">
        <w:rPr>
          <w:rFonts w:ascii="Arial" w:hAnsi="Arial" w:cs="Arial"/>
          <w:sz w:val="18"/>
          <w:szCs w:val="18"/>
        </w:rPr>
        <w:t>U 202</w:t>
      </w:r>
      <w:r w:rsidR="00A6135A" w:rsidRPr="00F817DE">
        <w:rPr>
          <w:rFonts w:ascii="Arial" w:hAnsi="Arial" w:cs="Arial"/>
          <w:sz w:val="18"/>
          <w:szCs w:val="18"/>
        </w:rPr>
        <w:t>4</w:t>
      </w:r>
      <w:r w:rsidR="00760997" w:rsidRPr="00F817DE">
        <w:rPr>
          <w:rFonts w:ascii="Arial" w:hAnsi="Arial" w:cs="Arial"/>
          <w:sz w:val="18"/>
          <w:szCs w:val="18"/>
        </w:rPr>
        <w:t xml:space="preserve">.godini planirana je proračunska zaliha od </w:t>
      </w:r>
      <w:r w:rsidR="00A6135A" w:rsidRPr="00F817DE">
        <w:rPr>
          <w:rFonts w:ascii="Arial" w:hAnsi="Arial" w:cs="Arial"/>
          <w:sz w:val="18"/>
          <w:szCs w:val="18"/>
        </w:rPr>
        <w:t>5.000</w:t>
      </w:r>
      <w:r w:rsidR="003A7A68" w:rsidRPr="00F817DE">
        <w:rPr>
          <w:rFonts w:ascii="Arial" w:hAnsi="Arial" w:cs="Arial"/>
          <w:sz w:val="18"/>
          <w:szCs w:val="18"/>
        </w:rPr>
        <w:t xml:space="preserve"> EUR</w:t>
      </w:r>
      <w:r w:rsidR="00760997" w:rsidRPr="00F817DE">
        <w:rPr>
          <w:rFonts w:ascii="Arial" w:hAnsi="Arial" w:cs="Arial"/>
          <w:sz w:val="18"/>
          <w:szCs w:val="18"/>
        </w:rPr>
        <w:t xml:space="preserve"> za </w:t>
      </w:r>
      <w:r w:rsidR="004A63EB" w:rsidRPr="00F817DE">
        <w:rPr>
          <w:rFonts w:ascii="Arial" w:hAnsi="Arial" w:cs="Arial"/>
          <w:sz w:val="18"/>
          <w:szCs w:val="18"/>
        </w:rPr>
        <w:t xml:space="preserve">financiranje rashoda nastalih pri otklanjanju posljedica elementarnih nepogoda, epidemija, ekoloških i ostalih nepredvidivih nesreća odnosno izvanrednih događaja tijekom godine. </w:t>
      </w:r>
      <w:r w:rsidR="003A7A68" w:rsidRPr="00F817DE">
        <w:rPr>
          <w:rFonts w:ascii="Arial" w:hAnsi="Arial" w:cs="Arial"/>
          <w:sz w:val="18"/>
          <w:szCs w:val="18"/>
        </w:rPr>
        <w:t>U ovom razdoblju nije bilo rashoda iz proračunske zalihe.</w:t>
      </w:r>
    </w:p>
    <w:p w14:paraId="1B3D5886" w14:textId="77777777" w:rsidR="00E461BF" w:rsidRPr="00F817DE" w:rsidRDefault="00E461BF" w:rsidP="00760997">
      <w:pPr>
        <w:ind w:right="57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14:paraId="58DC8557" w14:textId="17FAFF7C" w:rsidR="00760997" w:rsidRPr="00BF5ACA" w:rsidRDefault="00760997" w:rsidP="00760997">
      <w:pPr>
        <w:ind w:right="57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F817DE">
        <w:rPr>
          <w:rFonts w:ascii="Arial" w:hAnsi="Arial" w:cs="Arial"/>
          <w:b/>
          <w:i/>
          <w:sz w:val="20"/>
          <w:szCs w:val="20"/>
          <w:u w:val="single"/>
        </w:rPr>
        <w:t>Izvještaj o zad</w:t>
      </w:r>
      <w:r w:rsidR="00E461BF" w:rsidRPr="00F817DE">
        <w:rPr>
          <w:rFonts w:ascii="Arial" w:hAnsi="Arial" w:cs="Arial"/>
          <w:b/>
          <w:i/>
          <w:sz w:val="20"/>
          <w:szCs w:val="20"/>
          <w:u w:val="single"/>
        </w:rPr>
        <w:t>uživanju</w:t>
      </w:r>
      <w:r w:rsidR="00E461BF" w:rsidRPr="00884312">
        <w:rPr>
          <w:rFonts w:ascii="Arial" w:hAnsi="Arial" w:cs="Arial"/>
          <w:b/>
          <w:i/>
          <w:sz w:val="20"/>
          <w:szCs w:val="20"/>
          <w:u w:val="single"/>
        </w:rPr>
        <w:t xml:space="preserve"> i danim</w:t>
      </w:r>
      <w:r w:rsidR="00E461BF" w:rsidRPr="000B63DC">
        <w:rPr>
          <w:rFonts w:ascii="Arial" w:hAnsi="Arial" w:cs="Arial"/>
          <w:b/>
          <w:i/>
          <w:sz w:val="20"/>
          <w:szCs w:val="20"/>
          <w:u w:val="single"/>
        </w:rPr>
        <w:t xml:space="preserve"> jamstvima</w:t>
      </w:r>
      <w:r w:rsidR="00E461BF">
        <w:rPr>
          <w:rFonts w:ascii="Arial" w:hAnsi="Arial" w:cs="Arial"/>
          <w:b/>
          <w:i/>
          <w:sz w:val="20"/>
          <w:szCs w:val="20"/>
          <w:u w:val="single"/>
        </w:rPr>
        <w:t xml:space="preserve"> u 202</w:t>
      </w:r>
      <w:r w:rsidR="00732972">
        <w:rPr>
          <w:rFonts w:ascii="Arial" w:hAnsi="Arial" w:cs="Arial"/>
          <w:b/>
          <w:i/>
          <w:sz w:val="20"/>
          <w:szCs w:val="20"/>
          <w:u w:val="single"/>
        </w:rPr>
        <w:t>4</w:t>
      </w:r>
      <w:r w:rsidRPr="00D311EF">
        <w:rPr>
          <w:rFonts w:ascii="Arial" w:hAnsi="Arial" w:cs="Arial"/>
          <w:b/>
          <w:i/>
          <w:sz w:val="18"/>
          <w:szCs w:val="18"/>
          <w:u w:val="single"/>
        </w:rPr>
        <w:t>.</w:t>
      </w:r>
    </w:p>
    <w:p w14:paraId="166DCB7A" w14:textId="1197DABA" w:rsidR="00347E65" w:rsidRDefault="009737FD" w:rsidP="00395B80">
      <w:pPr>
        <w:spacing w:after="0"/>
        <w:ind w:right="-322"/>
        <w:jc w:val="both"/>
        <w:rPr>
          <w:rFonts w:ascii="Arial" w:hAnsi="Arial" w:cs="Arial"/>
          <w:sz w:val="18"/>
          <w:szCs w:val="18"/>
        </w:rPr>
      </w:pPr>
      <w:r w:rsidRPr="009737FD">
        <w:rPr>
          <w:rFonts w:ascii="Arial" w:hAnsi="Arial" w:cs="Arial"/>
          <w:sz w:val="18"/>
          <w:szCs w:val="18"/>
        </w:rPr>
        <w:t xml:space="preserve">Otplata </w:t>
      </w:r>
      <w:r w:rsidR="001379ED">
        <w:rPr>
          <w:rFonts w:ascii="Arial" w:hAnsi="Arial" w:cs="Arial"/>
          <w:sz w:val="18"/>
          <w:szCs w:val="18"/>
        </w:rPr>
        <w:t xml:space="preserve">neotplaćene </w:t>
      </w:r>
      <w:r w:rsidRPr="009737FD">
        <w:rPr>
          <w:rFonts w:ascii="Arial" w:hAnsi="Arial" w:cs="Arial"/>
          <w:sz w:val="18"/>
          <w:szCs w:val="18"/>
        </w:rPr>
        <w:t>glavnice dugoročnog kredita HBOR-a za Projekte Grada</w:t>
      </w:r>
      <w:r w:rsidR="00845D05">
        <w:rPr>
          <w:rFonts w:ascii="Arial" w:hAnsi="Arial" w:cs="Arial"/>
          <w:sz w:val="18"/>
          <w:szCs w:val="18"/>
        </w:rPr>
        <w:t xml:space="preserve"> </w:t>
      </w:r>
      <w:r w:rsidR="001379ED">
        <w:rPr>
          <w:rFonts w:ascii="Arial" w:hAnsi="Arial" w:cs="Arial"/>
          <w:sz w:val="18"/>
          <w:szCs w:val="18"/>
        </w:rPr>
        <w:t>započela je u</w:t>
      </w:r>
      <w:r w:rsidR="00732972">
        <w:rPr>
          <w:rFonts w:ascii="Arial" w:hAnsi="Arial" w:cs="Arial"/>
          <w:sz w:val="18"/>
          <w:szCs w:val="18"/>
        </w:rPr>
        <w:t xml:space="preserve"> 2023. godini</w:t>
      </w:r>
      <w:r w:rsidR="00737A97">
        <w:rPr>
          <w:rFonts w:ascii="Arial" w:hAnsi="Arial" w:cs="Arial"/>
          <w:sz w:val="18"/>
          <w:szCs w:val="18"/>
        </w:rPr>
        <w:t>. Ukupno otplaćena glavnica iznosi 910.312,49</w:t>
      </w:r>
      <w:r w:rsidR="001379ED">
        <w:rPr>
          <w:rFonts w:ascii="Arial" w:hAnsi="Arial" w:cs="Arial"/>
          <w:sz w:val="18"/>
          <w:szCs w:val="18"/>
        </w:rPr>
        <w:t xml:space="preserve"> EUR.</w:t>
      </w:r>
      <w:r w:rsidR="006202E7">
        <w:rPr>
          <w:rFonts w:ascii="Arial" w:hAnsi="Arial" w:cs="Arial"/>
          <w:sz w:val="18"/>
          <w:szCs w:val="18"/>
        </w:rPr>
        <w:t xml:space="preserve"> Otplatna rata iznosi 10.779,54 a rok otplate je 9 godina odnosno 108 jednakih uzastopnih mjesečnih rata. </w:t>
      </w:r>
    </w:p>
    <w:p w14:paraId="1EF4380B" w14:textId="1B9FB4C4" w:rsidR="00760997" w:rsidRPr="009737FD" w:rsidRDefault="00347E65" w:rsidP="00395B80">
      <w:pPr>
        <w:spacing w:after="0"/>
        <w:ind w:right="-32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Otplata glavnice dugoročnog kredita HBOR-a za Modernizaciju javne rasvjete</w:t>
      </w:r>
      <w:r w:rsidR="009737FD" w:rsidRPr="009737FD">
        <w:rPr>
          <w:rFonts w:ascii="Arial" w:hAnsi="Arial" w:cs="Arial"/>
          <w:sz w:val="18"/>
          <w:szCs w:val="18"/>
        </w:rPr>
        <w:t xml:space="preserve"> </w:t>
      </w:r>
      <w:r w:rsidR="00737A97">
        <w:rPr>
          <w:rFonts w:ascii="Arial" w:hAnsi="Arial" w:cs="Arial"/>
          <w:sz w:val="18"/>
          <w:szCs w:val="18"/>
        </w:rPr>
        <w:t>započela je u 2023. godini i iznosi 65.197,37 EUR</w:t>
      </w:r>
      <w:r>
        <w:rPr>
          <w:rFonts w:ascii="Arial" w:hAnsi="Arial" w:cs="Arial"/>
          <w:sz w:val="18"/>
          <w:szCs w:val="18"/>
        </w:rPr>
        <w:t>.</w:t>
      </w:r>
      <w:r w:rsidR="00737A97">
        <w:rPr>
          <w:rFonts w:ascii="Arial" w:hAnsi="Arial" w:cs="Arial"/>
          <w:sz w:val="18"/>
          <w:szCs w:val="18"/>
        </w:rPr>
        <w:t xml:space="preserve"> Otplatna rata iznosi 6.519,74 EUR na rok od 9,5 godina odnosno 114 jednakih mjesečnih rata.</w:t>
      </w:r>
    </w:p>
    <w:p w14:paraId="459D56BB" w14:textId="4332C0B0" w:rsidR="00395B80" w:rsidRPr="009737FD" w:rsidRDefault="00395B80" w:rsidP="00395B80">
      <w:pPr>
        <w:spacing w:after="0"/>
        <w:ind w:right="-322"/>
        <w:jc w:val="both"/>
        <w:rPr>
          <w:rFonts w:ascii="Arial" w:hAnsi="Arial" w:cs="Arial"/>
          <w:sz w:val="18"/>
          <w:szCs w:val="18"/>
        </w:rPr>
      </w:pPr>
      <w:r w:rsidRPr="009737FD">
        <w:rPr>
          <w:rFonts w:ascii="Arial" w:hAnsi="Arial" w:cs="Arial"/>
          <w:sz w:val="18"/>
          <w:szCs w:val="18"/>
        </w:rPr>
        <w:t xml:space="preserve">Kamate po </w:t>
      </w:r>
      <w:r w:rsidR="00B93778">
        <w:rPr>
          <w:rFonts w:ascii="Arial" w:hAnsi="Arial" w:cs="Arial"/>
          <w:sz w:val="18"/>
          <w:szCs w:val="18"/>
        </w:rPr>
        <w:t xml:space="preserve">dugoročnom </w:t>
      </w:r>
      <w:r w:rsidRPr="009737FD">
        <w:rPr>
          <w:rFonts w:ascii="Arial" w:hAnsi="Arial" w:cs="Arial"/>
          <w:sz w:val="18"/>
          <w:szCs w:val="18"/>
        </w:rPr>
        <w:t>kreditu HBOR-a za Projekte Grada</w:t>
      </w:r>
      <w:r w:rsidR="009737FD">
        <w:rPr>
          <w:rFonts w:ascii="Arial" w:hAnsi="Arial" w:cs="Arial"/>
          <w:sz w:val="18"/>
          <w:szCs w:val="18"/>
        </w:rPr>
        <w:t xml:space="preserve"> i Modernizaciju javne rasvjete, </w:t>
      </w:r>
      <w:r w:rsidRPr="009737FD">
        <w:rPr>
          <w:rFonts w:ascii="Arial" w:hAnsi="Arial" w:cs="Arial"/>
          <w:sz w:val="18"/>
          <w:szCs w:val="18"/>
        </w:rPr>
        <w:t xml:space="preserve">plaćene su prema dospjeću i iznose </w:t>
      </w:r>
      <w:r w:rsidR="00737A97">
        <w:rPr>
          <w:rFonts w:ascii="Arial" w:hAnsi="Arial" w:cs="Arial"/>
          <w:sz w:val="18"/>
          <w:szCs w:val="18"/>
        </w:rPr>
        <w:t>9.338,93</w:t>
      </w:r>
      <w:r w:rsidRPr="009737FD">
        <w:rPr>
          <w:rFonts w:ascii="Arial" w:hAnsi="Arial" w:cs="Arial"/>
          <w:sz w:val="18"/>
          <w:szCs w:val="18"/>
        </w:rPr>
        <w:t xml:space="preserve">. </w:t>
      </w:r>
    </w:p>
    <w:p w14:paraId="0C9FEB04" w14:textId="77777777" w:rsidR="00395B80" w:rsidRPr="009737FD" w:rsidRDefault="00395B80" w:rsidP="00395B80">
      <w:pPr>
        <w:spacing w:after="0"/>
        <w:ind w:right="-322"/>
        <w:jc w:val="both"/>
        <w:rPr>
          <w:rFonts w:ascii="Arial" w:hAnsi="Arial" w:cs="Arial"/>
          <w:sz w:val="18"/>
          <w:szCs w:val="18"/>
        </w:rPr>
      </w:pPr>
    </w:p>
    <w:p w14:paraId="23E6E855" w14:textId="77777777" w:rsidR="001379ED" w:rsidRDefault="001379ED" w:rsidP="001379ED">
      <w:pPr>
        <w:spacing w:after="0"/>
        <w:ind w:right="-322"/>
        <w:jc w:val="both"/>
        <w:rPr>
          <w:rFonts w:ascii="Arial" w:hAnsi="Arial" w:cs="Arial"/>
          <w:sz w:val="18"/>
          <w:szCs w:val="18"/>
        </w:rPr>
      </w:pPr>
    </w:p>
    <w:p w14:paraId="2056D6F6" w14:textId="77777777" w:rsidR="001379ED" w:rsidRPr="001379ED" w:rsidRDefault="001379ED" w:rsidP="001379ED">
      <w:pPr>
        <w:spacing w:after="0"/>
        <w:ind w:right="-322"/>
        <w:jc w:val="both"/>
        <w:rPr>
          <w:rFonts w:ascii="Arial" w:hAnsi="Arial" w:cs="Arial"/>
          <w:sz w:val="18"/>
          <w:szCs w:val="18"/>
        </w:rPr>
      </w:pPr>
    </w:p>
    <w:p w14:paraId="226012DD" w14:textId="5AC0607B" w:rsidR="002E145B" w:rsidRDefault="00760997" w:rsidP="002E145B">
      <w:pPr>
        <w:ind w:right="57" w:firstLine="720"/>
        <w:jc w:val="both"/>
        <w:rPr>
          <w:rFonts w:ascii="Arial" w:hAnsi="Arial" w:cs="Arial"/>
          <w:b/>
          <w:sz w:val="18"/>
          <w:szCs w:val="18"/>
        </w:rPr>
      </w:pPr>
      <w:r w:rsidRPr="00F817DE">
        <w:rPr>
          <w:rFonts w:ascii="Arial" w:hAnsi="Arial" w:cs="Arial"/>
          <w:b/>
          <w:sz w:val="18"/>
          <w:szCs w:val="18"/>
        </w:rPr>
        <w:lastRenderedPageBreak/>
        <w:t>Primljeni zajmovi i</w:t>
      </w:r>
      <w:r w:rsidRPr="001003BA">
        <w:rPr>
          <w:rFonts w:ascii="Arial" w:hAnsi="Arial" w:cs="Arial"/>
          <w:b/>
          <w:sz w:val="18"/>
          <w:szCs w:val="18"/>
        </w:rPr>
        <w:t xml:space="preserve"> otplate</w:t>
      </w:r>
    </w:p>
    <w:tbl>
      <w:tblPr>
        <w:tblW w:w="10637" w:type="dxa"/>
        <w:tblInd w:w="113" w:type="dxa"/>
        <w:tblLook w:val="04A0" w:firstRow="1" w:lastRow="0" w:firstColumn="1" w:lastColumn="0" w:noHBand="0" w:noVBand="1"/>
      </w:tblPr>
      <w:tblGrid>
        <w:gridCol w:w="774"/>
        <w:gridCol w:w="2445"/>
        <w:gridCol w:w="1956"/>
        <w:gridCol w:w="1549"/>
        <w:gridCol w:w="1936"/>
        <w:gridCol w:w="1977"/>
      </w:tblGrid>
      <w:tr w:rsidR="002E145B" w:rsidRPr="002E145B" w14:paraId="30654B08" w14:textId="77777777" w:rsidTr="002E145B">
        <w:trPr>
          <w:trHeight w:val="742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0A6AA4" w14:textId="77777777" w:rsidR="002E145B" w:rsidRPr="002E145B" w:rsidRDefault="002E145B" w:rsidP="002E1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E14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R.br.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A9BCFE" w14:textId="77777777" w:rsidR="002E145B" w:rsidRPr="002E145B" w:rsidRDefault="002E145B" w:rsidP="002E1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E14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Naziv pravne osobe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C42495" w14:textId="77777777" w:rsidR="002E145B" w:rsidRPr="002E145B" w:rsidRDefault="002E145B" w:rsidP="002E1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E14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stanje zajma 1.1.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BC2678" w14:textId="77777777" w:rsidR="002E145B" w:rsidRPr="002E145B" w:rsidRDefault="002E145B" w:rsidP="002E1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E14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otplate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1CA83A" w14:textId="77777777" w:rsidR="002E145B" w:rsidRPr="002E145B" w:rsidRDefault="002E145B" w:rsidP="002E1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E14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primljeni zajmovi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6EA2B7" w14:textId="77777777" w:rsidR="002E145B" w:rsidRPr="002E145B" w:rsidRDefault="002E145B" w:rsidP="002E1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E14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stanje 30.06.</w:t>
            </w:r>
          </w:p>
        </w:tc>
      </w:tr>
      <w:tr w:rsidR="002E145B" w:rsidRPr="002E145B" w14:paraId="6E33C866" w14:textId="77777777" w:rsidTr="002E145B">
        <w:trPr>
          <w:trHeight w:val="484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31D2" w14:textId="77777777" w:rsidR="002E145B" w:rsidRPr="002E145B" w:rsidRDefault="002E145B" w:rsidP="002E1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E14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1CCE" w14:textId="77777777" w:rsidR="002E145B" w:rsidRPr="002E145B" w:rsidRDefault="002E145B" w:rsidP="002E1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E14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HBOR (za Projekte)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EAAC" w14:textId="77777777" w:rsidR="002E145B" w:rsidRPr="002E145B" w:rsidRDefault="002E145B" w:rsidP="002E1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E14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1.067.174,02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882C" w14:textId="77777777" w:rsidR="002E145B" w:rsidRPr="002E145B" w:rsidRDefault="002E145B" w:rsidP="002E1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E14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53.897,70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E8F5" w14:textId="77777777" w:rsidR="002E145B" w:rsidRPr="002E145B" w:rsidRDefault="002E145B" w:rsidP="002E1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E14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EB47" w14:textId="77777777" w:rsidR="002E145B" w:rsidRPr="002E145B" w:rsidRDefault="002E145B" w:rsidP="002E1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E14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1.013.276,32</w:t>
            </w:r>
          </w:p>
        </w:tc>
      </w:tr>
      <w:tr w:rsidR="002E145B" w:rsidRPr="002E145B" w14:paraId="6C054D58" w14:textId="77777777" w:rsidTr="002E145B">
        <w:trPr>
          <w:trHeight w:val="5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E771" w14:textId="77777777" w:rsidR="002E145B" w:rsidRPr="002E145B" w:rsidRDefault="002E145B" w:rsidP="002E1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E14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B398" w14:textId="77777777" w:rsidR="002E145B" w:rsidRPr="002E145B" w:rsidRDefault="002E145B" w:rsidP="002E1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E14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HBOR (za Modernizaciju JR)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8404" w14:textId="77777777" w:rsidR="002E145B" w:rsidRPr="002E145B" w:rsidRDefault="002E145B" w:rsidP="002E1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E14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710.651,88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7755" w14:textId="77777777" w:rsidR="002E145B" w:rsidRPr="002E145B" w:rsidRDefault="002E145B" w:rsidP="002E1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E14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32.598,70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9E51" w14:textId="77777777" w:rsidR="002E145B" w:rsidRPr="002E145B" w:rsidRDefault="002E145B" w:rsidP="002E1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E14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6A3B" w14:textId="77777777" w:rsidR="002E145B" w:rsidRPr="002E145B" w:rsidRDefault="002E145B" w:rsidP="002E1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E14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678.053,18</w:t>
            </w:r>
          </w:p>
        </w:tc>
      </w:tr>
      <w:tr w:rsidR="002E145B" w:rsidRPr="002E145B" w14:paraId="65435A35" w14:textId="77777777" w:rsidTr="002E145B">
        <w:trPr>
          <w:trHeight w:val="516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75292C" w14:textId="77777777" w:rsidR="002E145B" w:rsidRPr="002E145B" w:rsidRDefault="002E145B" w:rsidP="002E1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E14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B94EBC" w14:textId="77777777" w:rsidR="002E145B" w:rsidRPr="002E145B" w:rsidRDefault="002E145B" w:rsidP="002E1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E14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0E3C4A" w14:textId="77777777" w:rsidR="002E145B" w:rsidRPr="002E145B" w:rsidRDefault="002E145B" w:rsidP="002E1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E14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1.777.825,90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2BD359" w14:textId="77777777" w:rsidR="002E145B" w:rsidRPr="002E145B" w:rsidRDefault="002E145B" w:rsidP="002E1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E14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86.496,40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57EFE6" w14:textId="77777777" w:rsidR="002E145B" w:rsidRPr="002E145B" w:rsidRDefault="002E145B" w:rsidP="002E1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E14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9B1A0D" w14:textId="77777777" w:rsidR="002E145B" w:rsidRPr="002E145B" w:rsidRDefault="002E145B" w:rsidP="002E1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E14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1.691.329,50</w:t>
            </w:r>
          </w:p>
        </w:tc>
      </w:tr>
    </w:tbl>
    <w:p w14:paraId="7825E2BC" w14:textId="77777777" w:rsidR="0028296F" w:rsidRDefault="0028296F" w:rsidP="001379ED">
      <w:pPr>
        <w:ind w:right="57" w:firstLine="720"/>
        <w:jc w:val="both"/>
        <w:rPr>
          <w:rFonts w:ascii="Arial" w:hAnsi="Arial" w:cs="Arial"/>
          <w:b/>
          <w:sz w:val="18"/>
          <w:szCs w:val="18"/>
        </w:rPr>
      </w:pPr>
    </w:p>
    <w:p w14:paraId="5C92B43F" w14:textId="77777777" w:rsidR="002E145B" w:rsidRDefault="002E145B" w:rsidP="001379ED">
      <w:pPr>
        <w:ind w:right="57" w:firstLine="720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687" w:type="dxa"/>
        <w:tblInd w:w="113" w:type="dxa"/>
        <w:tblLook w:val="04A0" w:firstRow="1" w:lastRow="0" w:firstColumn="1" w:lastColumn="0" w:noHBand="0" w:noVBand="1"/>
      </w:tblPr>
      <w:tblGrid>
        <w:gridCol w:w="778"/>
        <w:gridCol w:w="2457"/>
        <w:gridCol w:w="1965"/>
        <w:gridCol w:w="1556"/>
        <w:gridCol w:w="1945"/>
        <w:gridCol w:w="1986"/>
      </w:tblGrid>
      <w:tr w:rsidR="002E145B" w:rsidRPr="0028296F" w14:paraId="61C27409" w14:textId="77777777" w:rsidTr="002E145B">
        <w:trPr>
          <w:trHeight w:val="69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8EF629" w14:textId="77777777" w:rsidR="0028296F" w:rsidRPr="0028296F" w:rsidRDefault="0028296F" w:rsidP="00282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82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R.br.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864B21" w14:textId="77777777" w:rsidR="0028296F" w:rsidRPr="0028296F" w:rsidRDefault="0028296F" w:rsidP="00282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82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Naziv pravne osobe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FCE85C" w14:textId="77777777" w:rsidR="0028296F" w:rsidRPr="0028296F" w:rsidRDefault="0028296F" w:rsidP="00282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82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stanje 1.1.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6AF42D" w14:textId="77777777" w:rsidR="0028296F" w:rsidRPr="0028296F" w:rsidRDefault="0028296F" w:rsidP="00282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82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dospjele kamate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264BA0" w14:textId="77777777" w:rsidR="0028296F" w:rsidRPr="0028296F" w:rsidRDefault="0028296F" w:rsidP="00282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82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plaćene kamate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2FF479" w14:textId="77777777" w:rsidR="0028296F" w:rsidRPr="0028296F" w:rsidRDefault="0028296F" w:rsidP="00282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82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stanje 30.06.</w:t>
            </w:r>
          </w:p>
        </w:tc>
      </w:tr>
      <w:tr w:rsidR="0028296F" w:rsidRPr="0028296F" w14:paraId="1A634E9B" w14:textId="77777777" w:rsidTr="002E145B">
        <w:trPr>
          <w:trHeight w:val="53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724E" w14:textId="77777777" w:rsidR="0028296F" w:rsidRPr="0028296F" w:rsidRDefault="0028296F" w:rsidP="00282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82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26E6" w14:textId="77777777" w:rsidR="0028296F" w:rsidRPr="0028296F" w:rsidRDefault="0028296F" w:rsidP="00282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82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HBOR (za Projekte)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3C78" w14:textId="77777777" w:rsidR="0028296F" w:rsidRPr="0028296F" w:rsidRDefault="0028296F" w:rsidP="00282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82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8542" w14:textId="77777777" w:rsidR="0028296F" w:rsidRPr="0028296F" w:rsidRDefault="0028296F" w:rsidP="00282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82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8.973,30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219E" w14:textId="77777777" w:rsidR="0028296F" w:rsidRPr="0028296F" w:rsidRDefault="0028296F" w:rsidP="00282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82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8.973,30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B924" w14:textId="77777777" w:rsidR="0028296F" w:rsidRPr="0028296F" w:rsidRDefault="0028296F" w:rsidP="00282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82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28296F" w:rsidRPr="0028296F" w14:paraId="4F80A859" w14:textId="77777777" w:rsidTr="002E145B">
        <w:trPr>
          <w:trHeight w:val="53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5072" w14:textId="77777777" w:rsidR="0028296F" w:rsidRPr="0028296F" w:rsidRDefault="0028296F" w:rsidP="00282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82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11D7" w14:textId="77777777" w:rsidR="0028296F" w:rsidRPr="0028296F" w:rsidRDefault="0028296F" w:rsidP="00282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82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HBOR (za Modernizaciju JR)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124A" w14:textId="77777777" w:rsidR="0028296F" w:rsidRPr="0028296F" w:rsidRDefault="0028296F" w:rsidP="00282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82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68AA" w14:textId="77777777" w:rsidR="0028296F" w:rsidRPr="0028296F" w:rsidRDefault="0028296F" w:rsidP="00282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82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365,63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1C0B" w14:textId="77777777" w:rsidR="0028296F" w:rsidRPr="0028296F" w:rsidRDefault="0028296F" w:rsidP="00282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82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365,63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CD7B" w14:textId="77777777" w:rsidR="0028296F" w:rsidRPr="0028296F" w:rsidRDefault="0028296F" w:rsidP="00282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82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28296F" w:rsidRPr="0028296F" w14:paraId="3DEBDB20" w14:textId="77777777" w:rsidTr="002E145B">
        <w:trPr>
          <w:trHeight w:val="53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C72ECF" w14:textId="77777777" w:rsidR="0028296F" w:rsidRPr="0028296F" w:rsidRDefault="0028296F" w:rsidP="00282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82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5B71D3" w14:textId="77777777" w:rsidR="0028296F" w:rsidRPr="0028296F" w:rsidRDefault="0028296F" w:rsidP="00282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82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2A6F16" w14:textId="77777777" w:rsidR="0028296F" w:rsidRPr="0028296F" w:rsidRDefault="0028296F" w:rsidP="00282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82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F48B1E" w14:textId="77777777" w:rsidR="0028296F" w:rsidRPr="0028296F" w:rsidRDefault="0028296F" w:rsidP="00282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82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9.338,93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89B593" w14:textId="77777777" w:rsidR="0028296F" w:rsidRPr="0028296F" w:rsidRDefault="0028296F" w:rsidP="00282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82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9.338,93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077A4E" w14:textId="77777777" w:rsidR="0028296F" w:rsidRPr="0028296F" w:rsidRDefault="0028296F" w:rsidP="00282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82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</w:tbl>
    <w:p w14:paraId="7FA9F1B7" w14:textId="77777777" w:rsidR="0028296F" w:rsidRDefault="0028296F" w:rsidP="001379ED">
      <w:pPr>
        <w:ind w:right="57" w:firstLine="720"/>
        <w:jc w:val="both"/>
        <w:rPr>
          <w:rFonts w:ascii="Arial" w:hAnsi="Arial" w:cs="Arial"/>
          <w:b/>
          <w:sz w:val="18"/>
          <w:szCs w:val="18"/>
        </w:rPr>
      </w:pPr>
    </w:p>
    <w:p w14:paraId="7D755970" w14:textId="77777777" w:rsidR="0028296F" w:rsidRDefault="0028296F" w:rsidP="001379ED">
      <w:pPr>
        <w:ind w:right="57" w:firstLine="720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440" w:type="dxa"/>
        <w:tblInd w:w="113" w:type="dxa"/>
        <w:tblLook w:val="04A0" w:firstRow="1" w:lastRow="0" w:firstColumn="1" w:lastColumn="0" w:noHBand="0" w:noVBand="1"/>
      </w:tblPr>
      <w:tblGrid>
        <w:gridCol w:w="760"/>
        <w:gridCol w:w="2400"/>
        <w:gridCol w:w="1920"/>
        <w:gridCol w:w="1520"/>
        <w:gridCol w:w="1900"/>
        <w:gridCol w:w="1940"/>
      </w:tblGrid>
      <w:tr w:rsidR="001379ED" w:rsidRPr="001379ED" w14:paraId="5B25C33E" w14:textId="77777777" w:rsidTr="001379E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A6A6" w14:textId="77777777" w:rsidR="001379ED" w:rsidRPr="001379ED" w:rsidRDefault="001379ED" w:rsidP="001379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ECB9" w14:textId="77777777" w:rsidR="001379ED" w:rsidRPr="001379ED" w:rsidRDefault="001379ED" w:rsidP="001379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3472" w14:textId="77777777" w:rsidR="001379ED" w:rsidRPr="001379ED" w:rsidRDefault="001379ED" w:rsidP="001379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DEF0" w14:textId="77777777" w:rsidR="001379ED" w:rsidRPr="001379ED" w:rsidRDefault="001379ED" w:rsidP="001379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A21D" w14:textId="77777777" w:rsidR="001379ED" w:rsidRPr="001379ED" w:rsidRDefault="001379ED" w:rsidP="001379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EF01" w14:textId="77777777" w:rsidR="001379ED" w:rsidRPr="001379ED" w:rsidRDefault="001379ED" w:rsidP="001379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1379ED" w:rsidRPr="001379ED" w14:paraId="099383B0" w14:textId="77777777" w:rsidTr="001379E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0A92" w14:textId="77777777" w:rsidR="0014122C" w:rsidRPr="001379ED" w:rsidRDefault="0014122C" w:rsidP="001379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7635" w14:textId="77777777" w:rsidR="001379ED" w:rsidRPr="001379ED" w:rsidRDefault="001379ED" w:rsidP="001379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89B2" w14:textId="77777777" w:rsidR="001379ED" w:rsidRPr="001379ED" w:rsidRDefault="001379ED" w:rsidP="001379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6595" w14:textId="77777777" w:rsidR="001379ED" w:rsidRPr="001379ED" w:rsidRDefault="001379ED" w:rsidP="001379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B889" w14:textId="77777777" w:rsidR="001379ED" w:rsidRPr="001379ED" w:rsidRDefault="001379ED" w:rsidP="001379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041C" w14:textId="77777777" w:rsidR="001379ED" w:rsidRPr="001379ED" w:rsidRDefault="001379ED" w:rsidP="001379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14:paraId="0BC9F295" w14:textId="77777777" w:rsidR="002E145B" w:rsidRPr="00F817DE" w:rsidRDefault="002E145B" w:rsidP="002E145B">
      <w:pPr>
        <w:spacing w:after="0"/>
        <w:ind w:right="-322"/>
        <w:jc w:val="both"/>
        <w:rPr>
          <w:rFonts w:ascii="Arial" w:hAnsi="Arial" w:cs="Arial"/>
          <w:sz w:val="18"/>
          <w:szCs w:val="18"/>
        </w:rPr>
      </w:pPr>
      <w:r w:rsidRPr="00F817DE">
        <w:rPr>
          <w:rFonts w:ascii="Arial" w:hAnsi="Arial" w:cs="Arial"/>
          <w:sz w:val="18"/>
          <w:szCs w:val="18"/>
        </w:rPr>
        <w:t xml:space="preserve">Zajmovi nisu davani. </w:t>
      </w:r>
    </w:p>
    <w:p w14:paraId="5CFAB6A4" w14:textId="77777777" w:rsidR="002E145B" w:rsidRPr="00F817DE" w:rsidRDefault="002E145B" w:rsidP="002E145B">
      <w:pPr>
        <w:spacing w:after="0"/>
        <w:ind w:right="-322"/>
        <w:jc w:val="both"/>
        <w:rPr>
          <w:rFonts w:ascii="Arial" w:hAnsi="Arial" w:cs="Arial"/>
          <w:sz w:val="18"/>
          <w:szCs w:val="18"/>
        </w:rPr>
      </w:pPr>
    </w:p>
    <w:p w14:paraId="5D6BF5F3" w14:textId="77777777" w:rsidR="002E145B" w:rsidRDefault="002E145B" w:rsidP="002E145B">
      <w:pPr>
        <w:spacing w:after="0"/>
        <w:ind w:right="-322"/>
        <w:jc w:val="both"/>
        <w:rPr>
          <w:rFonts w:ascii="Arial" w:hAnsi="Arial" w:cs="Arial"/>
          <w:sz w:val="18"/>
          <w:szCs w:val="18"/>
        </w:rPr>
      </w:pPr>
      <w:r w:rsidRPr="00F817DE">
        <w:rPr>
          <w:rFonts w:ascii="Arial" w:hAnsi="Arial" w:cs="Arial"/>
          <w:sz w:val="18"/>
          <w:szCs w:val="18"/>
        </w:rPr>
        <w:t>Jamstva su dana:</w:t>
      </w:r>
    </w:p>
    <w:p w14:paraId="461B804C" w14:textId="77777777" w:rsidR="001400B9" w:rsidRDefault="001400B9" w:rsidP="002E145B">
      <w:pPr>
        <w:spacing w:after="0"/>
        <w:ind w:right="-322"/>
        <w:jc w:val="both"/>
        <w:rPr>
          <w:rFonts w:ascii="Arial" w:hAnsi="Arial" w:cs="Arial"/>
          <w:sz w:val="18"/>
          <w:szCs w:val="18"/>
        </w:rPr>
      </w:pPr>
    </w:p>
    <w:p w14:paraId="11C7517C" w14:textId="77777777" w:rsidR="002E145B" w:rsidRDefault="002E145B" w:rsidP="002E145B">
      <w:pPr>
        <w:pStyle w:val="ListParagraph"/>
        <w:numPr>
          <w:ilvl w:val="0"/>
          <w:numId w:val="4"/>
        </w:numPr>
        <w:spacing w:after="0"/>
        <w:ind w:right="-32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OTP banci d.d. 400.000 za dozvoljeno prekoračenje na poslovnom računu,</w:t>
      </w:r>
    </w:p>
    <w:p w14:paraId="5FBFAE24" w14:textId="1D734FD0" w:rsidR="002E145B" w:rsidRDefault="002E145B" w:rsidP="002E145B">
      <w:pPr>
        <w:pStyle w:val="ListParagraph"/>
        <w:numPr>
          <w:ilvl w:val="0"/>
          <w:numId w:val="4"/>
        </w:numPr>
        <w:spacing w:after="0"/>
        <w:ind w:right="-32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Ministarstvu turizma i sporta 150.000 za ispunjenje obaveza iz Ugovora o sufinanciranju izgradnje i obnove sportskih građevina,</w:t>
      </w:r>
    </w:p>
    <w:p w14:paraId="33EDC204" w14:textId="3EF07EF3" w:rsidR="002E145B" w:rsidRDefault="002E145B" w:rsidP="002E145B">
      <w:pPr>
        <w:pStyle w:val="ListParagraph"/>
        <w:numPr>
          <w:ilvl w:val="0"/>
          <w:numId w:val="4"/>
        </w:numPr>
        <w:spacing w:after="0"/>
        <w:ind w:right="-32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Ministarstvu reg.razvoja i fondova EU 90.000 prema Ugovoru o financiranju projekta uređenja polivalentne dvorane u Račišću, </w:t>
      </w:r>
    </w:p>
    <w:p w14:paraId="46121015" w14:textId="2CD37F67" w:rsidR="002E145B" w:rsidRDefault="009916CF" w:rsidP="002E145B">
      <w:pPr>
        <w:pStyle w:val="ListParagraph"/>
        <w:numPr>
          <w:ilvl w:val="0"/>
          <w:numId w:val="4"/>
        </w:numPr>
        <w:spacing w:after="0"/>
        <w:ind w:right="-32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Ministarstvu reg.razvoja i fondova EU 20.000 prema Ugovoru financiranja projekta uređenja obale na Vrniku, te</w:t>
      </w:r>
    </w:p>
    <w:p w14:paraId="3A564794" w14:textId="3B587DBD" w:rsidR="009916CF" w:rsidRPr="002E145B" w:rsidRDefault="009916CF" w:rsidP="002E145B">
      <w:pPr>
        <w:pStyle w:val="ListParagraph"/>
        <w:numPr>
          <w:ilvl w:val="0"/>
          <w:numId w:val="4"/>
        </w:numPr>
        <w:spacing w:after="0"/>
        <w:ind w:right="-32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Županji Dubrovačo-neretvanskoj </w:t>
      </w:r>
      <w:r w:rsidR="001400B9">
        <w:rPr>
          <w:rFonts w:ascii="Arial" w:hAnsi="Arial" w:cs="Arial"/>
          <w:sz w:val="18"/>
          <w:szCs w:val="18"/>
        </w:rPr>
        <w:t>105.000</w:t>
      </w:r>
      <w:r>
        <w:rPr>
          <w:rFonts w:ascii="Arial" w:hAnsi="Arial" w:cs="Arial"/>
          <w:sz w:val="18"/>
          <w:szCs w:val="18"/>
        </w:rPr>
        <w:t xml:space="preserve"> prema Ugovor</w:t>
      </w:r>
      <w:r w:rsidR="001400B9">
        <w:rPr>
          <w:rFonts w:ascii="Arial" w:hAnsi="Arial" w:cs="Arial"/>
          <w:sz w:val="18"/>
          <w:szCs w:val="18"/>
        </w:rPr>
        <w:t>ima o davanju na uporabu</w:t>
      </w:r>
      <w:r w:rsidR="007D4C58">
        <w:rPr>
          <w:rFonts w:ascii="Arial" w:hAnsi="Arial" w:cs="Arial"/>
          <w:sz w:val="18"/>
          <w:szCs w:val="18"/>
        </w:rPr>
        <w:t xml:space="preserve"> igrališta u svrhu uređenja istih.</w:t>
      </w:r>
    </w:p>
    <w:p w14:paraId="268DAC3C" w14:textId="77777777" w:rsidR="002E145B" w:rsidRDefault="002E145B" w:rsidP="002E145B">
      <w:pPr>
        <w:spacing w:after="0"/>
        <w:ind w:right="-322"/>
        <w:jc w:val="both"/>
        <w:rPr>
          <w:rFonts w:ascii="Arial" w:hAnsi="Arial" w:cs="Arial"/>
          <w:sz w:val="18"/>
          <w:szCs w:val="18"/>
        </w:rPr>
      </w:pPr>
    </w:p>
    <w:p w14:paraId="1F4763DE" w14:textId="25BAAA7D" w:rsidR="001379ED" w:rsidRPr="001003BA" w:rsidRDefault="001379ED" w:rsidP="0014122C">
      <w:pPr>
        <w:ind w:right="57"/>
        <w:jc w:val="both"/>
        <w:rPr>
          <w:rFonts w:ascii="Arial" w:hAnsi="Arial" w:cs="Arial"/>
          <w:b/>
          <w:sz w:val="18"/>
          <w:szCs w:val="18"/>
        </w:rPr>
      </w:pPr>
    </w:p>
    <w:sectPr w:rsidR="001379ED" w:rsidRPr="001003BA" w:rsidSect="00405F2A">
      <w:footerReference w:type="default" r:id="rId12"/>
      <w:pgSz w:w="15840" w:h="12240" w:orient="landscape"/>
      <w:pgMar w:top="1418" w:right="1418" w:bottom="680" w:left="1418" w:header="720" w:footer="11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9D43D" w14:textId="77777777" w:rsidR="00E42430" w:rsidRDefault="00E42430" w:rsidP="00E86DF3">
      <w:pPr>
        <w:spacing w:after="0" w:line="240" w:lineRule="auto"/>
      </w:pPr>
      <w:r>
        <w:separator/>
      </w:r>
    </w:p>
  </w:endnote>
  <w:endnote w:type="continuationSeparator" w:id="0">
    <w:p w14:paraId="2F520A54" w14:textId="77777777" w:rsidR="00E42430" w:rsidRDefault="00E42430" w:rsidP="00E86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73094"/>
      <w:docPartObj>
        <w:docPartGallery w:val="Page Numbers (Bottom of Page)"/>
        <w:docPartUnique/>
      </w:docPartObj>
    </w:sdtPr>
    <w:sdtContent>
      <w:p w14:paraId="7CEB8D79" w14:textId="77777777" w:rsidR="005859D2" w:rsidRDefault="005F4A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38A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39F680B" w14:textId="77777777" w:rsidR="005859D2" w:rsidRDefault="005859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1D80E" w14:textId="77777777" w:rsidR="00E42430" w:rsidRDefault="00E42430" w:rsidP="00E86DF3">
      <w:pPr>
        <w:spacing w:after="0" w:line="240" w:lineRule="auto"/>
      </w:pPr>
      <w:r>
        <w:separator/>
      </w:r>
    </w:p>
  </w:footnote>
  <w:footnote w:type="continuationSeparator" w:id="0">
    <w:p w14:paraId="7C855A4C" w14:textId="77777777" w:rsidR="00E42430" w:rsidRDefault="00E42430" w:rsidP="00E86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B6D41"/>
    <w:multiLevelType w:val="hybridMultilevel"/>
    <w:tmpl w:val="5EAE918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A1AB9"/>
    <w:multiLevelType w:val="hybridMultilevel"/>
    <w:tmpl w:val="C464BD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B474F"/>
    <w:multiLevelType w:val="hybridMultilevel"/>
    <w:tmpl w:val="E092C11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E34B84"/>
    <w:multiLevelType w:val="hybridMultilevel"/>
    <w:tmpl w:val="F2D8F4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581687">
    <w:abstractNumId w:val="1"/>
  </w:num>
  <w:num w:numId="2" w16cid:durableId="531187195">
    <w:abstractNumId w:val="0"/>
  </w:num>
  <w:num w:numId="3" w16cid:durableId="2146702951">
    <w:abstractNumId w:val="2"/>
  </w:num>
  <w:num w:numId="4" w16cid:durableId="11896853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997"/>
    <w:rsid w:val="00003FEF"/>
    <w:rsid w:val="00016FD7"/>
    <w:rsid w:val="00020419"/>
    <w:rsid w:val="00022F14"/>
    <w:rsid w:val="000233C4"/>
    <w:rsid w:val="000268B5"/>
    <w:rsid w:val="00036AC9"/>
    <w:rsid w:val="0006646F"/>
    <w:rsid w:val="00070B25"/>
    <w:rsid w:val="00071140"/>
    <w:rsid w:val="000740B3"/>
    <w:rsid w:val="00081833"/>
    <w:rsid w:val="00086116"/>
    <w:rsid w:val="000920BE"/>
    <w:rsid w:val="000965BC"/>
    <w:rsid w:val="000A381C"/>
    <w:rsid w:val="000A50D3"/>
    <w:rsid w:val="000B0B67"/>
    <w:rsid w:val="000B26C6"/>
    <w:rsid w:val="000B63DC"/>
    <w:rsid w:val="000C210D"/>
    <w:rsid w:val="000E7D7C"/>
    <w:rsid w:val="000F4158"/>
    <w:rsid w:val="001107F8"/>
    <w:rsid w:val="00113E9D"/>
    <w:rsid w:val="00120BD4"/>
    <w:rsid w:val="0012563D"/>
    <w:rsid w:val="00131A87"/>
    <w:rsid w:val="00132B02"/>
    <w:rsid w:val="001379ED"/>
    <w:rsid w:val="001400B9"/>
    <w:rsid w:val="0014122C"/>
    <w:rsid w:val="00145819"/>
    <w:rsid w:val="001460CC"/>
    <w:rsid w:val="00170CAB"/>
    <w:rsid w:val="00173078"/>
    <w:rsid w:val="00181E64"/>
    <w:rsid w:val="00181ECE"/>
    <w:rsid w:val="0018513B"/>
    <w:rsid w:val="001A136D"/>
    <w:rsid w:val="001A631C"/>
    <w:rsid w:val="001B29BF"/>
    <w:rsid w:val="001B3783"/>
    <w:rsid w:val="001C34C5"/>
    <w:rsid w:val="001C5AC8"/>
    <w:rsid w:val="001C6C3A"/>
    <w:rsid w:val="001F78B6"/>
    <w:rsid w:val="0020391E"/>
    <w:rsid w:val="00231984"/>
    <w:rsid w:val="00236FAB"/>
    <w:rsid w:val="0023742E"/>
    <w:rsid w:val="002379A6"/>
    <w:rsid w:val="00244EA9"/>
    <w:rsid w:val="00250FF3"/>
    <w:rsid w:val="0026241F"/>
    <w:rsid w:val="0026367E"/>
    <w:rsid w:val="00277F3C"/>
    <w:rsid w:val="0028296F"/>
    <w:rsid w:val="00286202"/>
    <w:rsid w:val="002C1990"/>
    <w:rsid w:val="002C645F"/>
    <w:rsid w:val="002D0C04"/>
    <w:rsid w:val="002D7A86"/>
    <w:rsid w:val="002E020F"/>
    <w:rsid w:val="002E1181"/>
    <w:rsid w:val="002E145B"/>
    <w:rsid w:val="002E3B4D"/>
    <w:rsid w:val="002E58E1"/>
    <w:rsid w:val="002F2993"/>
    <w:rsid w:val="002F3338"/>
    <w:rsid w:val="002F3D32"/>
    <w:rsid w:val="00300E9B"/>
    <w:rsid w:val="00302F19"/>
    <w:rsid w:val="00310690"/>
    <w:rsid w:val="00311BAE"/>
    <w:rsid w:val="003209FD"/>
    <w:rsid w:val="00323F1D"/>
    <w:rsid w:val="0033493C"/>
    <w:rsid w:val="00335670"/>
    <w:rsid w:val="00343027"/>
    <w:rsid w:val="00347E65"/>
    <w:rsid w:val="0035534F"/>
    <w:rsid w:val="003672B7"/>
    <w:rsid w:val="00375523"/>
    <w:rsid w:val="00381A8D"/>
    <w:rsid w:val="00382C6D"/>
    <w:rsid w:val="00384E13"/>
    <w:rsid w:val="00391BF4"/>
    <w:rsid w:val="00395B80"/>
    <w:rsid w:val="003A299F"/>
    <w:rsid w:val="003A788B"/>
    <w:rsid w:val="003A7A68"/>
    <w:rsid w:val="003B2271"/>
    <w:rsid w:val="003C0E80"/>
    <w:rsid w:val="003C6D04"/>
    <w:rsid w:val="003D2BFC"/>
    <w:rsid w:val="003D4E96"/>
    <w:rsid w:val="003D620F"/>
    <w:rsid w:val="003D634A"/>
    <w:rsid w:val="003E2B52"/>
    <w:rsid w:val="003E7080"/>
    <w:rsid w:val="003F4DAE"/>
    <w:rsid w:val="003F6EE6"/>
    <w:rsid w:val="00401DCF"/>
    <w:rsid w:val="00405F2A"/>
    <w:rsid w:val="00406121"/>
    <w:rsid w:val="00412C33"/>
    <w:rsid w:val="00412ED3"/>
    <w:rsid w:val="00414411"/>
    <w:rsid w:val="00416A60"/>
    <w:rsid w:val="004206FA"/>
    <w:rsid w:val="004233A2"/>
    <w:rsid w:val="00431171"/>
    <w:rsid w:val="00432B84"/>
    <w:rsid w:val="0043480B"/>
    <w:rsid w:val="00434E6F"/>
    <w:rsid w:val="00434E78"/>
    <w:rsid w:val="00435D66"/>
    <w:rsid w:val="0044293B"/>
    <w:rsid w:val="00445BBF"/>
    <w:rsid w:val="004534A8"/>
    <w:rsid w:val="00454610"/>
    <w:rsid w:val="004665C9"/>
    <w:rsid w:val="00470816"/>
    <w:rsid w:val="004814E8"/>
    <w:rsid w:val="00484ECD"/>
    <w:rsid w:val="00492C75"/>
    <w:rsid w:val="00496ADF"/>
    <w:rsid w:val="004A0571"/>
    <w:rsid w:val="004A2232"/>
    <w:rsid w:val="004A2A59"/>
    <w:rsid w:val="004A30C6"/>
    <w:rsid w:val="004A563F"/>
    <w:rsid w:val="004A6234"/>
    <w:rsid w:val="004A63EB"/>
    <w:rsid w:val="004A6BC3"/>
    <w:rsid w:val="004C0CF4"/>
    <w:rsid w:val="004C2A67"/>
    <w:rsid w:val="004C45D8"/>
    <w:rsid w:val="004D336E"/>
    <w:rsid w:val="004D427A"/>
    <w:rsid w:val="004E56F6"/>
    <w:rsid w:val="004E7495"/>
    <w:rsid w:val="0050049F"/>
    <w:rsid w:val="00502306"/>
    <w:rsid w:val="00517487"/>
    <w:rsid w:val="00520CB9"/>
    <w:rsid w:val="005234B1"/>
    <w:rsid w:val="00524CB3"/>
    <w:rsid w:val="0052776B"/>
    <w:rsid w:val="00532131"/>
    <w:rsid w:val="00532666"/>
    <w:rsid w:val="0053796F"/>
    <w:rsid w:val="00544179"/>
    <w:rsid w:val="00547F64"/>
    <w:rsid w:val="0055159B"/>
    <w:rsid w:val="00553095"/>
    <w:rsid w:val="0055408D"/>
    <w:rsid w:val="005554FA"/>
    <w:rsid w:val="0058180E"/>
    <w:rsid w:val="0058508E"/>
    <w:rsid w:val="005859D2"/>
    <w:rsid w:val="00595F01"/>
    <w:rsid w:val="00597086"/>
    <w:rsid w:val="005A54D8"/>
    <w:rsid w:val="005A7C39"/>
    <w:rsid w:val="005B0802"/>
    <w:rsid w:val="005B5A0D"/>
    <w:rsid w:val="005D1715"/>
    <w:rsid w:val="005E38DB"/>
    <w:rsid w:val="005E46C1"/>
    <w:rsid w:val="005F13D1"/>
    <w:rsid w:val="005F4A35"/>
    <w:rsid w:val="00617057"/>
    <w:rsid w:val="006202E7"/>
    <w:rsid w:val="006255F3"/>
    <w:rsid w:val="00626896"/>
    <w:rsid w:val="00631241"/>
    <w:rsid w:val="00636131"/>
    <w:rsid w:val="0064123B"/>
    <w:rsid w:val="00651892"/>
    <w:rsid w:val="00657DA6"/>
    <w:rsid w:val="00660DEC"/>
    <w:rsid w:val="006627A7"/>
    <w:rsid w:val="00662F55"/>
    <w:rsid w:val="00663CA6"/>
    <w:rsid w:val="00664014"/>
    <w:rsid w:val="00671E56"/>
    <w:rsid w:val="006722CE"/>
    <w:rsid w:val="00672C1D"/>
    <w:rsid w:val="00684913"/>
    <w:rsid w:val="006861E6"/>
    <w:rsid w:val="00696482"/>
    <w:rsid w:val="006A0CED"/>
    <w:rsid w:val="006A7B40"/>
    <w:rsid w:val="006B2C6D"/>
    <w:rsid w:val="006B4F38"/>
    <w:rsid w:val="006C43AF"/>
    <w:rsid w:val="006C47B9"/>
    <w:rsid w:val="006C4A82"/>
    <w:rsid w:val="006D13C7"/>
    <w:rsid w:val="006D1DE8"/>
    <w:rsid w:val="006D6E09"/>
    <w:rsid w:val="006E6BEF"/>
    <w:rsid w:val="006F51F1"/>
    <w:rsid w:val="00703EF4"/>
    <w:rsid w:val="0071572F"/>
    <w:rsid w:val="00732972"/>
    <w:rsid w:val="00735916"/>
    <w:rsid w:val="00737A97"/>
    <w:rsid w:val="00747C07"/>
    <w:rsid w:val="00760997"/>
    <w:rsid w:val="00762218"/>
    <w:rsid w:val="007667B7"/>
    <w:rsid w:val="00771F4D"/>
    <w:rsid w:val="00774081"/>
    <w:rsid w:val="00774CB7"/>
    <w:rsid w:val="007779C8"/>
    <w:rsid w:val="007A3281"/>
    <w:rsid w:val="007A4EE4"/>
    <w:rsid w:val="007B788A"/>
    <w:rsid w:val="007C3C28"/>
    <w:rsid w:val="007D4C58"/>
    <w:rsid w:val="007D6B90"/>
    <w:rsid w:val="007E17D7"/>
    <w:rsid w:val="007E24A7"/>
    <w:rsid w:val="007E75C6"/>
    <w:rsid w:val="007F5459"/>
    <w:rsid w:val="007F57CA"/>
    <w:rsid w:val="00811A5F"/>
    <w:rsid w:val="008132DA"/>
    <w:rsid w:val="00813EF2"/>
    <w:rsid w:val="00814827"/>
    <w:rsid w:val="00820AF0"/>
    <w:rsid w:val="0082669D"/>
    <w:rsid w:val="00834963"/>
    <w:rsid w:val="0083767D"/>
    <w:rsid w:val="008413C9"/>
    <w:rsid w:val="00842EFC"/>
    <w:rsid w:val="00844AEA"/>
    <w:rsid w:val="00845D05"/>
    <w:rsid w:val="008465C5"/>
    <w:rsid w:val="0085358A"/>
    <w:rsid w:val="00862642"/>
    <w:rsid w:val="008650BD"/>
    <w:rsid w:val="00875705"/>
    <w:rsid w:val="00881D01"/>
    <w:rsid w:val="008826B2"/>
    <w:rsid w:val="0088303E"/>
    <w:rsid w:val="00884312"/>
    <w:rsid w:val="00895FA9"/>
    <w:rsid w:val="008B1E87"/>
    <w:rsid w:val="008C279F"/>
    <w:rsid w:val="008C53C8"/>
    <w:rsid w:val="008D1006"/>
    <w:rsid w:val="008D4AC5"/>
    <w:rsid w:val="008D4E62"/>
    <w:rsid w:val="008E097A"/>
    <w:rsid w:val="008F3957"/>
    <w:rsid w:val="00905760"/>
    <w:rsid w:val="009101EE"/>
    <w:rsid w:val="0091527B"/>
    <w:rsid w:val="00926F53"/>
    <w:rsid w:val="00936114"/>
    <w:rsid w:val="00937569"/>
    <w:rsid w:val="00942953"/>
    <w:rsid w:val="0095024E"/>
    <w:rsid w:val="0095149B"/>
    <w:rsid w:val="009555AD"/>
    <w:rsid w:val="00956818"/>
    <w:rsid w:val="00956C83"/>
    <w:rsid w:val="009647C8"/>
    <w:rsid w:val="009737FD"/>
    <w:rsid w:val="00973AB1"/>
    <w:rsid w:val="009916CF"/>
    <w:rsid w:val="00994228"/>
    <w:rsid w:val="009958D1"/>
    <w:rsid w:val="009B4F73"/>
    <w:rsid w:val="009C142C"/>
    <w:rsid w:val="009C1D94"/>
    <w:rsid w:val="009D7EF0"/>
    <w:rsid w:val="009F013C"/>
    <w:rsid w:val="009F235E"/>
    <w:rsid w:val="009F782E"/>
    <w:rsid w:val="00A00EAE"/>
    <w:rsid w:val="00A0252D"/>
    <w:rsid w:val="00A02CDA"/>
    <w:rsid w:val="00A05E41"/>
    <w:rsid w:val="00A10159"/>
    <w:rsid w:val="00A10B42"/>
    <w:rsid w:val="00A117B3"/>
    <w:rsid w:val="00A14BD5"/>
    <w:rsid w:val="00A14CB1"/>
    <w:rsid w:val="00A15338"/>
    <w:rsid w:val="00A249FD"/>
    <w:rsid w:val="00A251D6"/>
    <w:rsid w:val="00A30342"/>
    <w:rsid w:val="00A3406B"/>
    <w:rsid w:val="00A36707"/>
    <w:rsid w:val="00A3782A"/>
    <w:rsid w:val="00A43E88"/>
    <w:rsid w:val="00A471B0"/>
    <w:rsid w:val="00A52E08"/>
    <w:rsid w:val="00A5505B"/>
    <w:rsid w:val="00A565CD"/>
    <w:rsid w:val="00A56D38"/>
    <w:rsid w:val="00A57471"/>
    <w:rsid w:val="00A6135A"/>
    <w:rsid w:val="00A83089"/>
    <w:rsid w:val="00A92EA0"/>
    <w:rsid w:val="00A94A5D"/>
    <w:rsid w:val="00A96D49"/>
    <w:rsid w:val="00A9757A"/>
    <w:rsid w:val="00AA01FB"/>
    <w:rsid w:val="00AA104C"/>
    <w:rsid w:val="00AA372D"/>
    <w:rsid w:val="00AB0796"/>
    <w:rsid w:val="00AB5D81"/>
    <w:rsid w:val="00AB76BE"/>
    <w:rsid w:val="00AD1511"/>
    <w:rsid w:val="00AD417E"/>
    <w:rsid w:val="00AD77A7"/>
    <w:rsid w:val="00AF128E"/>
    <w:rsid w:val="00AF2B3D"/>
    <w:rsid w:val="00AF3D5F"/>
    <w:rsid w:val="00B01214"/>
    <w:rsid w:val="00B04CBF"/>
    <w:rsid w:val="00B06EF8"/>
    <w:rsid w:val="00B12DAE"/>
    <w:rsid w:val="00B403F1"/>
    <w:rsid w:val="00B46011"/>
    <w:rsid w:val="00B55807"/>
    <w:rsid w:val="00B62C58"/>
    <w:rsid w:val="00B657D9"/>
    <w:rsid w:val="00B66239"/>
    <w:rsid w:val="00B6714B"/>
    <w:rsid w:val="00B70B66"/>
    <w:rsid w:val="00B76F08"/>
    <w:rsid w:val="00B85ACA"/>
    <w:rsid w:val="00B910B1"/>
    <w:rsid w:val="00B93778"/>
    <w:rsid w:val="00B95EC9"/>
    <w:rsid w:val="00BA2E8F"/>
    <w:rsid w:val="00BA38AD"/>
    <w:rsid w:val="00BB1677"/>
    <w:rsid w:val="00BB3AA1"/>
    <w:rsid w:val="00BC1991"/>
    <w:rsid w:val="00BD4D46"/>
    <w:rsid w:val="00BD53CF"/>
    <w:rsid w:val="00BE0BDD"/>
    <w:rsid w:val="00BF0896"/>
    <w:rsid w:val="00BF2755"/>
    <w:rsid w:val="00BF5577"/>
    <w:rsid w:val="00C07DE0"/>
    <w:rsid w:val="00C11864"/>
    <w:rsid w:val="00C2147F"/>
    <w:rsid w:val="00C23E08"/>
    <w:rsid w:val="00C26FFB"/>
    <w:rsid w:val="00C32CFF"/>
    <w:rsid w:val="00C405BF"/>
    <w:rsid w:val="00C43EC2"/>
    <w:rsid w:val="00C50FB8"/>
    <w:rsid w:val="00C532E3"/>
    <w:rsid w:val="00C548D9"/>
    <w:rsid w:val="00C7060E"/>
    <w:rsid w:val="00C7089C"/>
    <w:rsid w:val="00C71BDF"/>
    <w:rsid w:val="00C7205E"/>
    <w:rsid w:val="00C73008"/>
    <w:rsid w:val="00C77D54"/>
    <w:rsid w:val="00C83F9B"/>
    <w:rsid w:val="00C840C8"/>
    <w:rsid w:val="00CA0152"/>
    <w:rsid w:val="00CA520E"/>
    <w:rsid w:val="00CB161C"/>
    <w:rsid w:val="00CC2329"/>
    <w:rsid w:val="00CD4523"/>
    <w:rsid w:val="00CE316F"/>
    <w:rsid w:val="00CE69C8"/>
    <w:rsid w:val="00CF29B0"/>
    <w:rsid w:val="00CF441F"/>
    <w:rsid w:val="00CF5248"/>
    <w:rsid w:val="00D036CF"/>
    <w:rsid w:val="00D065DA"/>
    <w:rsid w:val="00D07C28"/>
    <w:rsid w:val="00D14D88"/>
    <w:rsid w:val="00D15C85"/>
    <w:rsid w:val="00D15F0F"/>
    <w:rsid w:val="00D22077"/>
    <w:rsid w:val="00D24C08"/>
    <w:rsid w:val="00D25992"/>
    <w:rsid w:val="00D27E6C"/>
    <w:rsid w:val="00D311EF"/>
    <w:rsid w:val="00D32BA2"/>
    <w:rsid w:val="00D379C5"/>
    <w:rsid w:val="00D55ED7"/>
    <w:rsid w:val="00D56503"/>
    <w:rsid w:val="00D62560"/>
    <w:rsid w:val="00D66813"/>
    <w:rsid w:val="00D70EB7"/>
    <w:rsid w:val="00D74934"/>
    <w:rsid w:val="00D774F0"/>
    <w:rsid w:val="00D77512"/>
    <w:rsid w:val="00D77BA1"/>
    <w:rsid w:val="00D83426"/>
    <w:rsid w:val="00D90D9F"/>
    <w:rsid w:val="00DA1CCA"/>
    <w:rsid w:val="00DC14B3"/>
    <w:rsid w:val="00DC4E34"/>
    <w:rsid w:val="00DC57C7"/>
    <w:rsid w:val="00DD2AF6"/>
    <w:rsid w:val="00DE0C2F"/>
    <w:rsid w:val="00DF1A3F"/>
    <w:rsid w:val="00DF6253"/>
    <w:rsid w:val="00E05EFC"/>
    <w:rsid w:val="00E07E1A"/>
    <w:rsid w:val="00E36000"/>
    <w:rsid w:val="00E364D7"/>
    <w:rsid w:val="00E3725E"/>
    <w:rsid w:val="00E40CCF"/>
    <w:rsid w:val="00E42430"/>
    <w:rsid w:val="00E461BF"/>
    <w:rsid w:val="00E474C2"/>
    <w:rsid w:val="00E506ED"/>
    <w:rsid w:val="00E52DC5"/>
    <w:rsid w:val="00E5349F"/>
    <w:rsid w:val="00E64181"/>
    <w:rsid w:val="00E67725"/>
    <w:rsid w:val="00E72EC5"/>
    <w:rsid w:val="00E7694F"/>
    <w:rsid w:val="00E778F4"/>
    <w:rsid w:val="00E81E02"/>
    <w:rsid w:val="00E85A46"/>
    <w:rsid w:val="00E86DF3"/>
    <w:rsid w:val="00E967CB"/>
    <w:rsid w:val="00EA0827"/>
    <w:rsid w:val="00EA3286"/>
    <w:rsid w:val="00EA6865"/>
    <w:rsid w:val="00EB2EA8"/>
    <w:rsid w:val="00EB4536"/>
    <w:rsid w:val="00EB5B7E"/>
    <w:rsid w:val="00EC0270"/>
    <w:rsid w:val="00EC05BE"/>
    <w:rsid w:val="00EC2B8F"/>
    <w:rsid w:val="00EC5435"/>
    <w:rsid w:val="00EC716F"/>
    <w:rsid w:val="00EC7F42"/>
    <w:rsid w:val="00EE73F6"/>
    <w:rsid w:val="00EF32ED"/>
    <w:rsid w:val="00EF72F7"/>
    <w:rsid w:val="00F016FB"/>
    <w:rsid w:val="00F02FF7"/>
    <w:rsid w:val="00F06AD4"/>
    <w:rsid w:val="00F07454"/>
    <w:rsid w:val="00F15EC8"/>
    <w:rsid w:val="00F21237"/>
    <w:rsid w:val="00F232B8"/>
    <w:rsid w:val="00F237FF"/>
    <w:rsid w:val="00F32D8B"/>
    <w:rsid w:val="00F45D3A"/>
    <w:rsid w:val="00F500B0"/>
    <w:rsid w:val="00F50B45"/>
    <w:rsid w:val="00F53220"/>
    <w:rsid w:val="00F54D66"/>
    <w:rsid w:val="00F71791"/>
    <w:rsid w:val="00F71909"/>
    <w:rsid w:val="00F71C99"/>
    <w:rsid w:val="00F72B19"/>
    <w:rsid w:val="00F8072C"/>
    <w:rsid w:val="00F817DE"/>
    <w:rsid w:val="00F95C76"/>
    <w:rsid w:val="00F966B1"/>
    <w:rsid w:val="00FA6CCB"/>
    <w:rsid w:val="00FB0593"/>
    <w:rsid w:val="00FB2A55"/>
    <w:rsid w:val="00FB3910"/>
    <w:rsid w:val="00FC1C09"/>
    <w:rsid w:val="00FC44BF"/>
    <w:rsid w:val="00FD18CB"/>
    <w:rsid w:val="00FE2A76"/>
    <w:rsid w:val="00FE5D4C"/>
    <w:rsid w:val="00FE6ED2"/>
    <w:rsid w:val="00FE7B97"/>
    <w:rsid w:val="00FF206A"/>
    <w:rsid w:val="00FF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8940"/>
  <w15:docId w15:val="{2B1C56CB-008C-48CB-9FD7-C05603B2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99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99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6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DF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6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DF3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20BD4"/>
    <w:pPr>
      <w:ind w:left="720"/>
      <w:contextualSpacing/>
    </w:pPr>
  </w:style>
  <w:style w:type="table" w:styleId="TableGrid">
    <w:name w:val="Table Grid"/>
    <w:basedOn w:val="TableNormal"/>
    <w:uiPriority w:val="59"/>
    <w:rsid w:val="00CE6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Planirano 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>
              <a:solidFill>
                <a:schemeClr val="accent4"/>
              </a:solidFill>
            </a:ln>
          </c:spPr>
          <c:invertIfNegative val="0"/>
          <c:dLbls>
            <c:dLbl>
              <c:idx val="0"/>
              <c:layout>
                <c:manualLayout>
                  <c:x val="8.0321234341312123E-3"/>
                  <c:y val="-1.56494561259487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525-425A-BC96-BA373A5378D2}"/>
                </c:ext>
              </c:extLst>
            </c:dLbl>
            <c:dLbl>
              <c:idx val="1"/>
              <c:layout>
                <c:manualLayout>
                  <c:x val="1.0040154292664015E-2"/>
                  <c:y val="-1.87793473511385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525-425A-BC96-BA373A5378D2}"/>
                </c:ext>
              </c:extLst>
            </c:dLbl>
            <c:dLbl>
              <c:idx val="2"/>
              <c:layout>
                <c:manualLayout>
                  <c:x val="1.4056216009729547E-2"/>
                  <c:y val="-2.19092385763282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525-425A-BC96-BA373A5378D2}"/>
                </c:ext>
              </c:extLst>
            </c:dLbl>
            <c:dLbl>
              <c:idx val="3"/>
              <c:layout>
                <c:manualLayout>
                  <c:x val="1.0040154292664015E-2"/>
                  <c:y val="-1.87793473511385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525-425A-BC96-BA373A5378D2}"/>
                </c:ext>
              </c:extLst>
            </c:dLbl>
            <c:dLbl>
              <c:idx val="4"/>
              <c:layout>
                <c:manualLayout>
                  <c:x val="8.0321234341312123E-3"/>
                  <c:y val="-2.19092385763283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525-425A-BC96-BA373A5378D2}"/>
                </c:ext>
              </c:extLst>
            </c:dLbl>
            <c:dLbl>
              <c:idx val="5"/>
              <c:layout>
                <c:manualLayout>
                  <c:x val="8.0321234341312123E-3"/>
                  <c:y val="-1.87793473511385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525-425A-BC96-BA373A5378D2}"/>
                </c:ext>
              </c:extLst>
            </c:dLbl>
            <c:numFmt formatCode="###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/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List1!$A$2:$A$7</c:f>
              <c:strCache>
                <c:ptCount val="6"/>
                <c:pt idx="0">
                  <c:v>Prihodi poslovanja</c:v>
                </c:pt>
                <c:pt idx="1">
                  <c:v>Prihodi od prodaje nefin.imovine</c:v>
                </c:pt>
                <c:pt idx="2">
                  <c:v>Rashodi poslovanja</c:v>
                </c:pt>
                <c:pt idx="3">
                  <c:v>Rashodi za nabavu nefin.imovine</c:v>
                </c:pt>
                <c:pt idx="4">
                  <c:v>Izdaci za otplate zajmova</c:v>
                </c:pt>
                <c:pt idx="5">
                  <c:v>Primici od fin.imov.i zaduživanja</c:v>
                </c:pt>
              </c:strCache>
            </c:strRef>
          </c:cat>
          <c:val>
            <c:numRef>
              <c:f>List1!$B$2:$B$7</c:f>
              <c:numCache>
                <c:formatCode>_(* #,##0.00_);_(* \(#,##0.00\);_(* "-"??_);_(@_)</c:formatCode>
                <c:ptCount val="6"/>
                <c:pt idx="0">
                  <c:v>13655021.33</c:v>
                </c:pt>
                <c:pt idx="1">
                  <c:v>220000</c:v>
                </c:pt>
                <c:pt idx="2">
                  <c:v>6051645</c:v>
                </c:pt>
                <c:pt idx="3">
                  <c:v>7605435.3300000001</c:v>
                </c:pt>
                <c:pt idx="4">
                  <c:v>217941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525-425A-BC96-BA373A5378D2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Izvršeno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solidFill>
                <a:schemeClr val="accent6">
                  <a:lumMod val="40000"/>
                  <a:lumOff val="60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1.8072277726795226E-2"/>
                  <c:y val="-2.19092385763283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525-425A-BC96-BA373A5378D2}"/>
                </c:ext>
              </c:extLst>
            </c:dLbl>
            <c:dLbl>
              <c:idx val="1"/>
              <c:layout>
                <c:manualLayout>
                  <c:x val="8.0321234341312123E-3"/>
                  <c:y val="-1.87793473511385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525-425A-BC96-BA373A5378D2}"/>
                </c:ext>
              </c:extLst>
            </c:dLbl>
            <c:dLbl>
              <c:idx val="2"/>
              <c:layout>
                <c:manualLayout>
                  <c:x val="1.8072277726795153E-2"/>
                  <c:y val="-1.87793473511385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525-425A-BC96-BA373A5378D2}"/>
                </c:ext>
              </c:extLst>
            </c:dLbl>
            <c:dLbl>
              <c:idx val="3"/>
              <c:layout>
                <c:manualLayout>
                  <c:x val="1.8072277726795302E-2"/>
                  <c:y val="-2.50391298015181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525-425A-BC96-BA373A5378D2}"/>
                </c:ext>
              </c:extLst>
            </c:dLbl>
            <c:dLbl>
              <c:idx val="4"/>
              <c:layout>
                <c:manualLayout>
                  <c:x val="1.4056216009729621E-2"/>
                  <c:y val="-1.2519564900759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525-425A-BC96-BA373A5378D2}"/>
                </c:ext>
              </c:extLst>
            </c:dLbl>
            <c:dLbl>
              <c:idx val="5"/>
              <c:layout>
                <c:manualLayout>
                  <c:x val="1.6064246868262275E-2"/>
                  <c:y val="-1.2519564900759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525-425A-BC96-BA373A5378D2}"/>
                </c:ext>
              </c:extLst>
            </c:dLbl>
            <c:numFmt formatCode="###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/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List1!$A$2:$A$7</c:f>
              <c:strCache>
                <c:ptCount val="6"/>
                <c:pt idx="0">
                  <c:v>Prihodi poslovanja</c:v>
                </c:pt>
                <c:pt idx="1">
                  <c:v>Prihodi od prodaje nefin.imovine</c:v>
                </c:pt>
                <c:pt idx="2">
                  <c:v>Rashodi poslovanja</c:v>
                </c:pt>
                <c:pt idx="3">
                  <c:v>Rashodi za nabavu nefin.imovine</c:v>
                </c:pt>
                <c:pt idx="4">
                  <c:v>Izdaci za otplate zajmova</c:v>
                </c:pt>
                <c:pt idx="5">
                  <c:v>Primici od fin.imov.i zaduživanja</c:v>
                </c:pt>
              </c:strCache>
            </c:strRef>
          </c:cat>
          <c:val>
            <c:numRef>
              <c:f>List1!$C$2:$C$7</c:f>
              <c:numCache>
                <c:formatCode>_(* #,##0.00_);_(* \(#,##0.00\);_(* "-"??_);_(@_)</c:formatCode>
                <c:ptCount val="6"/>
                <c:pt idx="0">
                  <c:v>2545289.4300000002</c:v>
                </c:pt>
                <c:pt idx="1">
                  <c:v>59589.25</c:v>
                </c:pt>
                <c:pt idx="2">
                  <c:v>2252804.73</c:v>
                </c:pt>
                <c:pt idx="3">
                  <c:v>465138.95</c:v>
                </c:pt>
                <c:pt idx="4">
                  <c:v>186496.4</c:v>
                </c:pt>
                <c:pt idx="5">
                  <c:v>100000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8525-425A-BC96-BA373A5378D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5"/>
        <c:gapDepth val="0"/>
        <c:shape val="box"/>
        <c:axId val="76785152"/>
        <c:axId val="76786688"/>
        <c:axId val="0"/>
      </c:bar3DChart>
      <c:catAx>
        <c:axId val="76785152"/>
        <c:scaling>
          <c:orientation val="minMax"/>
        </c:scaling>
        <c:delete val="0"/>
        <c:axPos val="b"/>
        <c:numFmt formatCode="###" sourceLinked="0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sr-Latn-RS"/>
          </a:p>
        </c:txPr>
        <c:crossAx val="76786688"/>
        <c:crossesAt val="0"/>
        <c:auto val="0"/>
        <c:lblAlgn val="ctr"/>
        <c:lblOffset val="100"/>
        <c:noMultiLvlLbl val="0"/>
      </c:catAx>
      <c:valAx>
        <c:axId val="76786688"/>
        <c:scaling>
          <c:orientation val="minMax"/>
        </c:scaling>
        <c:delete val="0"/>
        <c:axPos val="l"/>
        <c:numFmt formatCode="0" sourceLinked="0"/>
        <c:majorTickMark val="none"/>
        <c:minorTickMark val="none"/>
        <c:tickLblPos val="nextTo"/>
        <c:crossAx val="76785152"/>
        <c:crosses val="autoZero"/>
        <c:crossBetween val="between"/>
        <c:dispUnits>
          <c:builtInUnit val="thousands"/>
          <c:dispUnitsLbl>
            <c:tx>
              <c:rich>
                <a:bodyPr/>
                <a:lstStyle/>
                <a:p>
                  <a:pPr>
                    <a:defRPr/>
                  </a:pPr>
                  <a:r>
                    <a:rPr lang="hr-HR"/>
                    <a:t>Tisuće</a:t>
                  </a:r>
                </a:p>
                <a:p>
                  <a:pPr>
                    <a:defRPr/>
                  </a:pPr>
                  <a:endParaRPr lang="hr-HR"/>
                </a:p>
              </c:rich>
            </c:tx>
          </c:dispUnitsLbl>
        </c:dispUnits>
      </c:valAx>
    </c:plotArea>
    <c:legend>
      <c:legendPos val="t"/>
      <c:overlay val="0"/>
      <c:txPr>
        <a:bodyPr/>
        <a:lstStyle/>
        <a:p>
          <a:pPr>
            <a:defRPr b="1"/>
          </a:pPr>
          <a:endParaRPr lang="sr-Latn-R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i="1"/>
            </a:pPr>
            <a:r>
              <a:rPr lang="en-US" sz="1200" i="1"/>
              <a:t>UKUPNI PRIHODI </a:t>
            </a:r>
            <a:r>
              <a:rPr lang="hr-HR" sz="1200" i="1"/>
              <a:t>I PRIMICI </a:t>
            </a:r>
            <a:r>
              <a:rPr lang="en-US" sz="1200" i="1"/>
              <a:t>PRORAČUNA</a:t>
            </a:r>
            <a:r>
              <a:rPr lang="hr-HR" sz="1200" i="1"/>
              <a:t> PO SKUPINAMA</a:t>
            </a:r>
            <a:endParaRPr lang="en-US" sz="1200" i="1"/>
          </a:p>
        </c:rich>
      </c:tx>
      <c:overlay val="0"/>
    </c:title>
    <c:autoTitleDeleted val="0"/>
    <c:view3D>
      <c:rotX val="30"/>
      <c:rotY val="191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spPr>
            <a:ln>
              <a:solidFill>
                <a:sysClr val="windowText" lastClr="000000"/>
              </a:solidFill>
            </a:ln>
            <a:effectLst>
              <a:outerShdw blurRad="469900" dist="533400" dir="14400000" sx="115000" sy="115000" rotWithShape="0">
                <a:schemeClr val="tx1">
                  <a:lumMod val="95000"/>
                  <a:lumOff val="5000"/>
                  <a:alpha val="20000"/>
                </a:schemeClr>
              </a:outerShdw>
            </a:effectLst>
          </c:spPr>
          <c:explosion val="13"/>
          <c:dLbls>
            <c:dLbl>
              <c:idx val="1"/>
              <c:layout>
                <c:manualLayout>
                  <c:x val="-5.1352379445616395E-2"/>
                  <c:y val="2.280872459180815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B2B-4251-8754-C72292C0ABD6}"/>
                </c:ext>
              </c:extLst>
            </c:dLbl>
            <c:dLbl>
              <c:idx val="2"/>
              <c:spPr>
                <a:noFill/>
                <a:effectLst>
                  <a:innerShdw blurRad="63500" dist="50800" dir="8100000">
                    <a:prstClr val="black">
                      <a:alpha val="50000"/>
                    </a:prstClr>
                  </a:innerShdw>
                </a:effectLst>
                <a:scene3d>
                  <a:camera prst="orthographicFront"/>
                  <a:lightRig rig="threePt" dir="t"/>
                </a:scene3d>
                <a:sp3d>
                  <a:bevelB/>
                </a:sp3d>
              </c:spPr>
              <c:txPr>
                <a:bodyPr/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sr-Latn-R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7B2B-4251-8754-C72292C0ABD6}"/>
                </c:ext>
              </c:extLst>
            </c:dLbl>
            <c:dLbl>
              <c:idx val="4"/>
              <c:layout>
                <c:manualLayout>
                  <c:x val="-2.233087824231552E-2"/>
                  <c:y val="-0.16117543619702629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B2B-4251-8754-C72292C0ABD6}"/>
                </c:ext>
              </c:extLst>
            </c:dLbl>
            <c:spPr>
              <a:effectLst>
                <a:innerShdw blurRad="63500" dist="50800" dir="8100000">
                  <a:prstClr val="black">
                    <a:alpha val="50000"/>
                  </a:prstClr>
                </a:innerShdw>
              </a:effectLst>
              <a:scene3d>
                <a:camera prst="orthographicFront"/>
                <a:lightRig rig="threePt" dir="t"/>
              </a:scene3d>
              <a:sp3d>
                <a:bevelB/>
              </a:sp3d>
            </c:spPr>
            <c:txPr>
              <a:bodyPr/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Sheet3!$A$1:$A$8</c:f>
              <c:strCache>
                <c:ptCount val="8"/>
                <c:pt idx="0">
                  <c:v>Prihodi od poreza</c:v>
                </c:pt>
                <c:pt idx="1">
                  <c:v>Pomoći</c:v>
                </c:pt>
                <c:pt idx="2">
                  <c:v>Prihodi od imovine</c:v>
                </c:pt>
                <c:pt idx="3">
                  <c:v>Prihodi od pristojbi i naknada</c:v>
                </c:pt>
                <c:pt idx="4">
                  <c:v>Prihodi od prodaje, usluga i donacija</c:v>
                </c:pt>
                <c:pt idx="5">
                  <c:v>Kazne i ostali prihodi</c:v>
                </c:pt>
                <c:pt idx="6">
                  <c:v>Prihodi od prodaje nefin.imovine</c:v>
                </c:pt>
                <c:pt idx="7">
                  <c:v>Primici od zaduživanja</c:v>
                </c:pt>
              </c:strCache>
            </c:strRef>
          </c:cat>
          <c:val>
            <c:numRef>
              <c:f>Sheet3!$B$1:$B$8</c:f>
              <c:numCache>
                <c:formatCode>_(* #,##0.00_);_(* \(#,##0.00\);_(* "-"??_);_(@_)</c:formatCode>
                <c:ptCount val="8"/>
                <c:pt idx="0">
                  <c:v>1439764.59</c:v>
                </c:pt>
                <c:pt idx="1">
                  <c:v>349355.37</c:v>
                </c:pt>
                <c:pt idx="2">
                  <c:v>227018.94</c:v>
                </c:pt>
                <c:pt idx="3">
                  <c:v>473333.77</c:v>
                </c:pt>
                <c:pt idx="4">
                  <c:v>41857.54</c:v>
                </c:pt>
                <c:pt idx="5">
                  <c:v>13959.22</c:v>
                </c:pt>
                <c:pt idx="6">
                  <c:v>59589.25</c:v>
                </c:pt>
                <c:pt idx="7">
                  <c:v>100000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B2B-4251-8754-C72292C0ABD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b"/>
      <c:overlay val="0"/>
      <c:txPr>
        <a:bodyPr/>
        <a:lstStyle/>
        <a:p>
          <a:pPr>
            <a:defRPr sz="900" b="1" i="1"/>
          </a:pPr>
          <a:endParaRPr lang="sr-Latn-RS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3"/>
    </mc:Choice>
    <mc:Fallback>
      <c:style val="2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i="1"/>
            </a:pPr>
            <a:r>
              <a:rPr lang="en-US" sz="1400" i="1"/>
              <a:t>PLANIRANI I OSTVARENI VLASTITI PRIHODI USTANOVA</a:t>
            </a:r>
            <a:endParaRPr lang="hr-HR" sz="1400" i="1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Sheet5!$B$1</c:f>
              <c:strCache>
                <c:ptCount val="1"/>
                <c:pt idx="0">
                  <c:v>Planirano 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numFmt formatCode="###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/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Sheet5!$A$2:$A$6</c:f>
              <c:strCache>
                <c:ptCount val="5"/>
                <c:pt idx="0">
                  <c:v>Muzej</c:v>
                </c:pt>
                <c:pt idx="1">
                  <c:v>Knjižnica</c:v>
                </c:pt>
                <c:pt idx="2">
                  <c:v>Vrtić</c:v>
                </c:pt>
                <c:pt idx="3">
                  <c:v>CZK</c:v>
                </c:pt>
                <c:pt idx="4">
                  <c:v>ŠOK</c:v>
                </c:pt>
              </c:strCache>
            </c:strRef>
          </c:cat>
          <c:val>
            <c:numRef>
              <c:f>Sheet5!$B$2:$B$6</c:f>
              <c:numCache>
                <c:formatCode>General</c:formatCode>
                <c:ptCount val="5"/>
                <c:pt idx="0">
                  <c:v>57107</c:v>
                </c:pt>
                <c:pt idx="1">
                  <c:v>37420</c:v>
                </c:pt>
                <c:pt idx="2">
                  <c:v>294781</c:v>
                </c:pt>
                <c:pt idx="3">
                  <c:v>40500</c:v>
                </c:pt>
                <c:pt idx="4">
                  <c:v>1008400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A3-4078-BF7B-449E371BAAE3}"/>
            </c:ext>
          </c:extLst>
        </c:ser>
        <c:ser>
          <c:idx val="1"/>
          <c:order val="1"/>
          <c:tx>
            <c:strRef>
              <c:f>Sheet5!$C$1</c:f>
              <c:strCache>
                <c:ptCount val="1"/>
                <c:pt idx="0">
                  <c:v>Ostvareno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 cmpd="sng">
              <a:prstDash val="solid"/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numFmt formatCode="###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/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Sheet5!$A$2:$A$6</c:f>
              <c:strCache>
                <c:ptCount val="5"/>
                <c:pt idx="0">
                  <c:v>Muzej</c:v>
                </c:pt>
                <c:pt idx="1">
                  <c:v>Knjižnica</c:v>
                </c:pt>
                <c:pt idx="2">
                  <c:v>Vrtić</c:v>
                </c:pt>
                <c:pt idx="3">
                  <c:v>CZK</c:v>
                </c:pt>
                <c:pt idx="4">
                  <c:v>ŠOK</c:v>
                </c:pt>
              </c:strCache>
            </c:strRef>
          </c:cat>
          <c:val>
            <c:numRef>
              <c:f>Sheet5!$C$2:$C$6</c:f>
              <c:numCache>
                <c:formatCode>General</c:formatCode>
                <c:ptCount val="5"/>
                <c:pt idx="0">
                  <c:v>10401</c:v>
                </c:pt>
                <c:pt idx="1">
                  <c:v>21588</c:v>
                </c:pt>
                <c:pt idx="2">
                  <c:v>148751</c:v>
                </c:pt>
                <c:pt idx="3">
                  <c:v>13251</c:v>
                </c:pt>
                <c:pt idx="4">
                  <c:v>19323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DA3-4078-BF7B-449E371BAAE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0"/>
        <c:overlap val="8"/>
        <c:axId val="77315456"/>
        <c:axId val="77325440"/>
      </c:barChart>
      <c:catAx>
        <c:axId val="7731545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="1" i="1"/>
            </a:pPr>
            <a:endParaRPr lang="sr-Latn-RS"/>
          </a:p>
        </c:txPr>
        <c:crossAx val="77325440"/>
        <c:crosses val="autoZero"/>
        <c:auto val="1"/>
        <c:lblAlgn val="ctr"/>
        <c:lblOffset val="100"/>
        <c:noMultiLvlLbl val="0"/>
      </c:catAx>
      <c:valAx>
        <c:axId val="773254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77315456"/>
        <c:crosses val="autoZero"/>
        <c:crossBetween val="between"/>
        <c:dispUnits>
          <c:builtInUnit val="thousands"/>
          <c:dispUnitsLbl>
            <c:tx>
              <c:rich>
                <a:bodyPr/>
                <a:lstStyle/>
                <a:p>
                  <a:pPr>
                    <a:defRPr/>
                  </a:pPr>
                  <a:r>
                    <a:rPr lang="hr-HR"/>
                    <a:t>Tisuće</a:t>
                  </a:r>
                </a:p>
              </c:rich>
            </c:tx>
          </c:dispUnitsLbl>
        </c:dispUnits>
      </c:valAx>
      <c:spPr>
        <a:noFill/>
        <a:ln>
          <a:noFill/>
        </a:ln>
      </c:spPr>
    </c:plotArea>
    <c:legend>
      <c:legendPos val="b"/>
      <c:overlay val="0"/>
      <c:txPr>
        <a:bodyPr/>
        <a:lstStyle/>
        <a:p>
          <a:pPr>
            <a:defRPr b="1" i="1"/>
          </a:pPr>
          <a:endParaRPr lang="sr-Latn-RS"/>
        </a:p>
      </c:txPr>
    </c:legend>
    <c:plotVisOnly val="1"/>
    <c:dispBlanksAs val="gap"/>
    <c:showDLblsOverMax val="0"/>
  </c:chart>
  <c:spPr>
    <a:ln w="76200"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i="1"/>
            </a:pPr>
            <a:r>
              <a:rPr lang="en-US" sz="1200" i="1"/>
              <a:t>RASHODI I IZDACI PO KORISNICIMA</a:t>
            </a:r>
            <a:r>
              <a:rPr lang="hr-HR" sz="1200" i="1"/>
              <a:t> PRORAČUNA</a:t>
            </a:r>
            <a:endParaRPr lang="en-US" sz="1200" i="1"/>
          </a:p>
        </c:rich>
      </c:tx>
      <c:overlay val="0"/>
      <c:spPr>
        <a:noFill/>
        <a:ln w="25400">
          <a:noFill/>
        </a:ln>
      </c:spPr>
    </c:title>
    <c:autoTitleDeleted val="0"/>
    <c:view3D>
      <c:rotX val="30"/>
      <c:rotY val="197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7853535353535359E-2"/>
          <c:y val="0.20202396218616531"/>
          <c:w val="0.81944444444444453"/>
          <c:h val="0.6954263462170267"/>
        </c:manualLayout>
      </c:layout>
      <c:pie3DChart>
        <c:varyColors val="1"/>
        <c:ser>
          <c:idx val="0"/>
          <c:order val="0"/>
          <c:explosion val="13"/>
          <c:dPt>
            <c:idx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5102-4A12-BEC7-7903BAAF9A07}"/>
              </c:ext>
            </c:extLst>
          </c:dPt>
          <c:dLbls>
            <c:dLbl>
              <c:idx val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00" b="1" i="1">
                      <a:solidFill>
                        <a:srgbClr val="002060"/>
                      </a:solidFill>
                    </a:defRPr>
                  </a:pPr>
                  <a:endParaRPr lang="sr-Latn-R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5102-4A12-BEC7-7903BAAF9A07}"/>
                </c:ext>
              </c:extLst>
            </c:dLbl>
            <c:dLbl>
              <c:idx val="1"/>
              <c:layout>
                <c:manualLayout>
                  <c:x val="-4.9702338344070625E-2"/>
                  <c:y val="-6.395921871191326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102-4A12-BEC7-7903BAAF9A07}"/>
                </c:ext>
              </c:extLst>
            </c:dLbl>
            <c:dLbl>
              <c:idx val="2"/>
              <c:layout>
                <c:manualLayout>
                  <c:x val="-4.3235504652827488E-3"/>
                  <c:y val="-9.827139215956429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102-4A12-BEC7-7903BAAF9A07}"/>
                </c:ext>
              </c:extLst>
            </c:dLbl>
            <c:dLbl>
              <c:idx val="3"/>
              <c:layout>
                <c:manualLayout>
                  <c:x val="-0.10626998329754245"/>
                  <c:y val="-0.13980712877687937"/>
                </c:manualLayout>
              </c:layout>
              <c:tx>
                <c:rich>
                  <a:bodyPr/>
                  <a:lstStyle/>
                  <a:p>
                    <a:pPr>
                      <a:defRPr b="1" i="1">
                        <a:solidFill>
                          <a:schemeClr val="bg2"/>
                        </a:solidFill>
                      </a:defRPr>
                    </a:pPr>
                    <a:r>
                      <a:rPr lang="en-US" b="1" i="1">
                        <a:solidFill>
                          <a:schemeClr val="bg2"/>
                        </a:solidFill>
                      </a:rPr>
                      <a:t>Vrtić
16%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5102-4A12-BEC7-7903BAAF9A07}"/>
                </c:ext>
              </c:extLst>
            </c:dLbl>
            <c:dLbl>
              <c:idx val="4"/>
              <c:layout>
                <c:manualLayout>
                  <c:x val="-5.5793167899467113E-3"/>
                  <c:y val="-2.803084296872515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CZK
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5102-4A12-BEC7-7903BAAF9A07}"/>
                </c:ext>
              </c:extLst>
            </c:dLbl>
            <c:dLbl>
              <c:idx val="5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b="1" i="1">
                      <a:solidFill>
                        <a:schemeClr val="bg2"/>
                      </a:solidFill>
                    </a:defRPr>
                  </a:pPr>
                  <a:endParaRPr lang="sr-Latn-R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6-5102-4A12-BEC7-7903BAAF9A07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 i="1">
                    <a:solidFill>
                      <a:schemeClr val="accent4">
                        <a:lumMod val="50000"/>
                      </a:schemeClr>
                    </a:solidFill>
                  </a:defRPr>
                </a:pPr>
                <a:endParaRPr lang="sr-Latn-R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Sheet4!$A$2:$A$7</c:f>
              <c:strCache>
                <c:ptCount val="6"/>
                <c:pt idx="0">
                  <c:v>Grad</c:v>
                </c:pt>
                <c:pt idx="1">
                  <c:v>Muzej</c:v>
                </c:pt>
                <c:pt idx="2">
                  <c:v>Knjižnica</c:v>
                </c:pt>
                <c:pt idx="3">
                  <c:v>Vrtić</c:v>
                </c:pt>
                <c:pt idx="4">
                  <c:v>CZKK</c:v>
                </c:pt>
                <c:pt idx="5">
                  <c:v>ŠOK</c:v>
                </c:pt>
              </c:strCache>
            </c:strRef>
          </c:cat>
          <c:val>
            <c:numRef>
              <c:f>Sheet4!$B$2:$B$7</c:f>
              <c:numCache>
                <c:formatCode>_(* #,##0.00_);_(* \(#,##0.00\);_(* "-"??_);_(@_)</c:formatCode>
                <c:ptCount val="6"/>
                <c:pt idx="0">
                  <c:v>1938935.39</c:v>
                </c:pt>
                <c:pt idx="1">
                  <c:v>110948.97</c:v>
                </c:pt>
                <c:pt idx="2">
                  <c:v>90261.2</c:v>
                </c:pt>
                <c:pt idx="3">
                  <c:v>451422.91</c:v>
                </c:pt>
                <c:pt idx="4">
                  <c:v>102025.97</c:v>
                </c:pt>
                <c:pt idx="5">
                  <c:v>210845.64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102-4A12-BEC7-7903BAAF9A07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hr-HR"/>
              <a:t>PLANIRANI I IZVRŠENI RASHODI USTANOVA</a:t>
            </a:r>
          </a:p>
        </c:rich>
      </c:tx>
      <c:layout>
        <c:manualLayout>
          <c:xMode val="edge"/>
          <c:yMode val="edge"/>
          <c:x val="0.25889967637540506"/>
          <c:y val="3.2745591939546598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679611650485452"/>
          <c:y val="0.19395465994962216"/>
          <c:w val="0.74433656957928807"/>
          <c:h val="0.647355163727958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Planirano 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accent6"/>
              </a:solidFill>
            </a:ln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0"/>
                  <c:y val="-1.00755667506297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83B-43D6-A559-9CAA40BC65FC}"/>
                </c:ext>
              </c:extLst>
            </c:dLbl>
            <c:dLbl>
              <c:idx val="1"/>
              <c:layout>
                <c:manualLayout>
                  <c:x val="4.3149946062567383E-3"/>
                  <c:y val="-1.00755667506297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83B-43D6-A559-9CAA40BC65FC}"/>
                </c:ext>
              </c:extLst>
            </c:dLbl>
            <c:dLbl>
              <c:idx val="2"/>
              <c:layout>
                <c:manualLayout>
                  <c:x val="4.3149946062567383E-3"/>
                  <c:y val="-1.00755667506297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83B-43D6-A559-9CAA40BC65FC}"/>
                </c:ext>
              </c:extLst>
            </c:dLbl>
            <c:dLbl>
              <c:idx val="3"/>
              <c:layout>
                <c:manualLayout>
                  <c:x val="4.3149946062567383E-3"/>
                  <c:y val="-6.71704450041981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83B-43D6-A559-9CAA40BC65FC}"/>
                </c:ext>
              </c:extLst>
            </c:dLbl>
            <c:dLbl>
              <c:idx val="4"/>
              <c:layout>
                <c:manualLayout>
                  <c:x val="4.3149946062568199E-3"/>
                  <c:y val="-1.00755667506297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83B-43D6-A559-9CAA40BC65FC}"/>
                </c:ext>
              </c:extLst>
            </c:dLbl>
            <c:numFmt formatCode="0" sourceLinked="0"/>
            <c:spPr>
              <a:noFill/>
              <a:ln w="25400">
                <a:noFill/>
              </a:ln>
              <a:effectLst>
                <a:outerShdw dir="8400000" sx="1000" sy="1000" algn="ctr" rotWithShape="0">
                  <a:srgbClr val="000000">
                    <a:alpha val="18000"/>
                  </a:srgb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txPr>
              <a:bodyPr/>
              <a:lstStyle/>
              <a:p>
                <a:pPr>
                  <a:defRPr b="1" i="1"/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Muzej</c:v>
                </c:pt>
                <c:pt idx="1">
                  <c:v>Knjižnica</c:v>
                </c:pt>
                <c:pt idx="2">
                  <c:v>Vrtić</c:v>
                </c:pt>
                <c:pt idx="3">
                  <c:v>CZK</c:v>
                </c:pt>
                <c:pt idx="4">
                  <c:v>ŠOK</c:v>
                </c:pt>
              </c:strCache>
            </c:strRef>
          </c:cat>
          <c:val>
            <c:numRef>
              <c:f>Sheet1!$B$2:$B$6</c:f>
              <c:numCache>
                <c:formatCode>_(* #,##0.00_);_(* \(#,##0.00\);_(* "-"??_);_(@_)</c:formatCode>
                <c:ptCount val="5"/>
                <c:pt idx="0">
                  <c:v>228716</c:v>
                </c:pt>
                <c:pt idx="1">
                  <c:v>207551</c:v>
                </c:pt>
                <c:pt idx="2">
                  <c:v>789355</c:v>
                </c:pt>
                <c:pt idx="3">
                  <c:v>228200</c:v>
                </c:pt>
                <c:pt idx="4">
                  <c:v>1513403.33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83B-43D6-A559-9CAA40BC65F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Izvršeno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1.2944983818770227E-2"/>
                  <c:y val="-1.6792611251049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83B-43D6-A559-9CAA40BC65FC}"/>
                </c:ext>
              </c:extLst>
            </c:dLbl>
            <c:dLbl>
              <c:idx val="1"/>
              <c:layout>
                <c:manualLayout>
                  <c:x val="1.0787486515641894E-2"/>
                  <c:y val="-1.00755667506297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83B-43D6-A559-9CAA40BC65FC}"/>
                </c:ext>
              </c:extLst>
            </c:dLbl>
            <c:dLbl>
              <c:idx val="2"/>
              <c:layout>
                <c:manualLayout>
                  <c:x val="1.7259978425026964E-2"/>
                  <c:y val="-6.71704450041981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83B-43D6-A559-9CAA40BC65FC}"/>
                </c:ext>
              </c:extLst>
            </c:dLbl>
            <c:dLbl>
              <c:idx val="3"/>
              <c:layout>
                <c:manualLayout>
                  <c:x val="1.2944983818770227E-2"/>
                  <c:y val="-6.71704450041981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83B-43D6-A559-9CAA40BC65FC}"/>
                </c:ext>
              </c:extLst>
            </c:dLbl>
            <c:dLbl>
              <c:idx val="4"/>
              <c:layout>
                <c:manualLayout>
                  <c:x val="1.51024811218986E-2"/>
                  <c:y val="-6.71730895099070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83B-43D6-A559-9CAA40BC65FC}"/>
                </c:ext>
              </c:extLst>
            </c:dLbl>
            <c:numFmt formatCode="0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1" i="1">
                    <a:solidFill>
                      <a:sysClr val="windowText" lastClr="000000"/>
                    </a:solidFill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Muzej</c:v>
                </c:pt>
                <c:pt idx="1">
                  <c:v>Knjižnica</c:v>
                </c:pt>
                <c:pt idx="2">
                  <c:v>Vrtić</c:v>
                </c:pt>
                <c:pt idx="3">
                  <c:v>CZK</c:v>
                </c:pt>
                <c:pt idx="4">
                  <c:v>ŠOK</c:v>
                </c:pt>
              </c:strCache>
            </c:strRef>
          </c:cat>
          <c:val>
            <c:numRef>
              <c:f>Sheet1!$C$2:$C$6</c:f>
              <c:numCache>
                <c:formatCode>_(* #,##0.00_);_(* \(#,##0.00\);_(* "-"??_);_(@_)</c:formatCode>
                <c:ptCount val="5"/>
                <c:pt idx="0">
                  <c:v>110948.97</c:v>
                </c:pt>
                <c:pt idx="1">
                  <c:v>90261.2</c:v>
                </c:pt>
                <c:pt idx="2">
                  <c:v>451422.91</c:v>
                </c:pt>
                <c:pt idx="3">
                  <c:v>102025.97</c:v>
                </c:pt>
                <c:pt idx="4">
                  <c:v>210845.64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183B-43D6-A559-9CAA40BC65F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6"/>
        <c:gapDepth val="62"/>
        <c:shape val="cylinder"/>
        <c:axId val="77042816"/>
        <c:axId val="77044352"/>
        <c:axId val="0"/>
      </c:bar3DChart>
      <c:catAx>
        <c:axId val="77042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sr-Latn-RS"/>
          </a:p>
        </c:txPr>
        <c:crossAx val="77044352"/>
        <c:crosses val="autoZero"/>
        <c:auto val="1"/>
        <c:lblAlgn val="ctr"/>
        <c:lblOffset val="100"/>
        <c:noMultiLvlLbl val="0"/>
      </c:catAx>
      <c:valAx>
        <c:axId val="77044352"/>
        <c:scaling>
          <c:orientation val="minMax"/>
        </c:scaling>
        <c:delete val="0"/>
        <c:axPos val="l"/>
        <c:numFmt formatCode="_(* #,##0.00_);_(* \(#,##0.00\);_(* &quot;-&quot;??_);_(@_)" sourceLinked="1"/>
        <c:majorTickMark val="none"/>
        <c:minorTickMark val="none"/>
        <c:tickLblPos val="nextTo"/>
        <c:crossAx val="77042816"/>
        <c:crosses val="autoZero"/>
        <c:crossBetween val="between"/>
        <c:dispUnits>
          <c:builtInUnit val="thousands"/>
          <c:dispUnitsLbl>
            <c:tx>
              <c:rich>
                <a:bodyPr/>
                <a:lstStyle/>
                <a:p>
                  <a:pPr>
                    <a:defRPr/>
                  </a:pPr>
                  <a:r>
                    <a:rPr lang="en-US"/>
                    <a:t>Tisuće</a:t>
                  </a:r>
                </a:p>
              </c:rich>
            </c:tx>
            <c:spPr>
              <a:noFill/>
              <a:ln w="25400">
                <a:noFill/>
              </a:ln>
            </c:spPr>
          </c:dispUnitsLbl>
        </c:dispUnits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689320388349514"/>
          <c:y val="0.48614609571788492"/>
          <c:w val="0.12730202414018635"/>
          <c:h val="0.1214637339098356"/>
        </c:manualLayout>
      </c:layout>
      <c:overlay val="0"/>
      <c:txPr>
        <a:bodyPr/>
        <a:lstStyle/>
        <a:p>
          <a:pPr>
            <a:defRPr b="1"/>
          </a:pPr>
          <a:endParaRPr lang="sr-Latn-R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Median">
    <a:dk1>
      <a:sysClr val="windowText" lastClr="000000"/>
    </a:dk1>
    <a:lt1>
      <a:sysClr val="window" lastClr="FFFFFF"/>
    </a:lt1>
    <a:dk2>
      <a:srgbClr val="775F55"/>
    </a:dk2>
    <a:lt2>
      <a:srgbClr val="EBDDC3"/>
    </a:lt2>
    <a:accent1>
      <a:srgbClr val="94B6D2"/>
    </a:accent1>
    <a:accent2>
      <a:srgbClr val="DD8047"/>
    </a:accent2>
    <a:accent3>
      <a:srgbClr val="A5AB81"/>
    </a:accent3>
    <a:accent4>
      <a:srgbClr val="D8B25C"/>
    </a:accent4>
    <a:accent5>
      <a:srgbClr val="7BA79D"/>
    </a:accent5>
    <a:accent6>
      <a:srgbClr val="968C8C"/>
    </a:accent6>
    <a:hlink>
      <a:srgbClr val="F7B615"/>
    </a:hlink>
    <a:folHlink>
      <a:srgbClr val="704404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Median">
    <a:dk1>
      <a:sysClr val="windowText" lastClr="000000"/>
    </a:dk1>
    <a:lt1>
      <a:sysClr val="window" lastClr="FFFFFF"/>
    </a:lt1>
    <a:dk2>
      <a:srgbClr val="775F55"/>
    </a:dk2>
    <a:lt2>
      <a:srgbClr val="EBDDC3"/>
    </a:lt2>
    <a:accent1>
      <a:srgbClr val="94B6D2"/>
    </a:accent1>
    <a:accent2>
      <a:srgbClr val="DD8047"/>
    </a:accent2>
    <a:accent3>
      <a:srgbClr val="A5AB81"/>
    </a:accent3>
    <a:accent4>
      <a:srgbClr val="D8B25C"/>
    </a:accent4>
    <a:accent5>
      <a:srgbClr val="7BA79D"/>
    </a:accent5>
    <a:accent6>
      <a:srgbClr val="968C8C"/>
    </a:accent6>
    <a:hlink>
      <a:srgbClr val="F7B615"/>
    </a:hlink>
    <a:folHlink>
      <a:srgbClr val="704404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Median">
    <a:dk1>
      <a:sysClr val="windowText" lastClr="000000"/>
    </a:dk1>
    <a:lt1>
      <a:sysClr val="window" lastClr="FFFFFF"/>
    </a:lt1>
    <a:dk2>
      <a:srgbClr val="775F55"/>
    </a:dk2>
    <a:lt2>
      <a:srgbClr val="EBDDC3"/>
    </a:lt2>
    <a:accent1>
      <a:srgbClr val="94B6D2"/>
    </a:accent1>
    <a:accent2>
      <a:srgbClr val="DD8047"/>
    </a:accent2>
    <a:accent3>
      <a:srgbClr val="A5AB81"/>
    </a:accent3>
    <a:accent4>
      <a:srgbClr val="D8B25C"/>
    </a:accent4>
    <a:accent5>
      <a:srgbClr val="7BA79D"/>
    </a:accent5>
    <a:accent6>
      <a:srgbClr val="968C8C"/>
    </a:accent6>
    <a:hlink>
      <a:srgbClr val="F7B615"/>
    </a:hlink>
    <a:folHlink>
      <a:srgbClr val="704404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Median">
    <a:dk1>
      <a:sysClr val="windowText" lastClr="000000"/>
    </a:dk1>
    <a:lt1>
      <a:sysClr val="window" lastClr="FFFFFF"/>
    </a:lt1>
    <a:dk2>
      <a:srgbClr val="775F55"/>
    </a:dk2>
    <a:lt2>
      <a:srgbClr val="EBDDC3"/>
    </a:lt2>
    <a:accent1>
      <a:srgbClr val="94B6D2"/>
    </a:accent1>
    <a:accent2>
      <a:srgbClr val="DD8047"/>
    </a:accent2>
    <a:accent3>
      <a:srgbClr val="A5AB81"/>
    </a:accent3>
    <a:accent4>
      <a:srgbClr val="D8B25C"/>
    </a:accent4>
    <a:accent5>
      <a:srgbClr val="7BA79D"/>
    </a:accent5>
    <a:accent6>
      <a:srgbClr val="968C8C"/>
    </a:accent6>
    <a:hlink>
      <a:srgbClr val="F7B615"/>
    </a:hlink>
    <a:folHlink>
      <a:srgbClr val="704404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Median">
    <a:dk1>
      <a:sysClr val="windowText" lastClr="000000"/>
    </a:dk1>
    <a:lt1>
      <a:sysClr val="window" lastClr="FFFFFF"/>
    </a:lt1>
    <a:dk2>
      <a:srgbClr val="775F55"/>
    </a:dk2>
    <a:lt2>
      <a:srgbClr val="EBDDC3"/>
    </a:lt2>
    <a:accent1>
      <a:srgbClr val="94B6D2"/>
    </a:accent1>
    <a:accent2>
      <a:srgbClr val="DD8047"/>
    </a:accent2>
    <a:accent3>
      <a:srgbClr val="A5AB81"/>
    </a:accent3>
    <a:accent4>
      <a:srgbClr val="D8B25C"/>
    </a:accent4>
    <a:accent5>
      <a:srgbClr val="7BA79D"/>
    </a:accent5>
    <a:accent6>
      <a:srgbClr val="968C8C"/>
    </a:accent6>
    <a:hlink>
      <a:srgbClr val="F7B615"/>
    </a:hlink>
    <a:folHlink>
      <a:srgbClr val="704404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btomic</dc:creator>
  <cp:lastModifiedBy>Ivana Stanišić</cp:lastModifiedBy>
  <cp:revision>2</cp:revision>
  <cp:lastPrinted>2024-10-02T10:28:00Z</cp:lastPrinted>
  <dcterms:created xsi:type="dcterms:W3CDTF">2025-05-16T07:29:00Z</dcterms:created>
  <dcterms:modified xsi:type="dcterms:W3CDTF">2025-05-16T07:29:00Z</dcterms:modified>
</cp:coreProperties>
</file>