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REPUBLIKA HRVATSKA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:rsidR="007058CD" w:rsidRPr="00A27936" w:rsidRDefault="00253197" w:rsidP="007058CD">
      <w:pPr>
        <w:pStyle w:val="NoSpacing"/>
        <w:jc w:val="center"/>
        <w:rPr>
          <w:rFonts w:asciiTheme="majorHAnsi" w:hAnsiTheme="majorHAnsi"/>
        </w:rPr>
      </w:pPr>
      <w:r w:rsidRPr="00253197">
        <w:rPr>
          <w:rFonts w:asciiTheme="majorHAnsi" w:hAnsiTheme="majorHAnsi"/>
        </w:rPr>
        <w:pict>
          <v:rect id="_x0000_i1025" style="width:0;height:1.5pt" o:hralign="center" o:hrstd="t" o:hr="t" fillcolor="#9d9da1" stroked="f"/>
        </w:pict>
      </w: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5A27F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 xml:space="preserve">UPUTE ZA IZRADU PRORAČUNA 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>GRADA KORČULE</w:t>
      </w:r>
    </w:p>
    <w:p w:rsidR="007058CD" w:rsidRPr="00A27936" w:rsidRDefault="00851C50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 RAZDOBLJE 2019. -  2021</w:t>
      </w:r>
      <w:r w:rsidR="007058CD" w:rsidRPr="00A27936">
        <w:rPr>
          <w:rFonts w:asciiTheme="majorHAnsi" w:hAnsiTheme="majorHAnsi"/>
          <w:b/>
        </w:rPr>
        <w:t>. GODINE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253197" w:rsidP="007058CD">
      <w:pPr>
        <w:pStyle w:val="NoSpacing"/>
        <w:jc w:val="center"/>
        <w:rPr>
          <w:rFonts w:asciiTheme="majorHAnsi" w:hAnsiTheme="majorHAnsi"/>
          <w:b/>
        </w:rPr>
      </w:pPr>
      <w:r w:rsidRPr="00253197">
        <w:rPr>
          <w:rFonts w:asciiTheme="majorHAnsi" w:hAnsiTheme="majorHAnsi"/>
        </w:rPr>
        <w:pict>
          <v:rect id="_x0000_i1026" style="width:0;height:1.5pt" o:hralign="center" o:hrstd="t" o:hr="t" fillcolor="#9d9da1" stroked="f"/>
        </w:pict>
      </w:r>
    </w:p>
    <w:p w:rsidR="007058CD" w:rsidRPr="00F364D9" w:rsidRDefault="009E26C0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Korčula, rujan</w:t>
      </w:r>
      <w:r w:rsidR="007058CD" w:rsidRPr="00A27936">
        <w:rPr>
          <w:rFonts w:asciiTheme="majorHAnsi" w:hAnsiTheme="majorHAnsi"/>
        </w:rPr>
        <w:t xml:space="preserve"> 201</w:t>
      </w:r>
      <w:r>
        <w:rPr>
          <w:rFonts w:asciiTheme="majorHAnsi" w:hAnsiTheme="majorHAnsi"/>
        </w:rPr>
        <w:t>8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:rsidR="0033179F" w:rsidRPr="00A27936" w:rsidRDefault="0033179F" w:rsidP="007500E8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:rsidR="0033179F" w:rsidRPr="00A27936" w:rsidRDefault="00B12D22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Izrada Proračuna Grada Korčule za razdoblje 201</w:t>
      </w:r>
      <w:r w:rsidR="009E26C0">
        <w:rPr>
          <w:rFonts w:asciiTheme="majorHAnsi" w:hAnsiTheme="majorHAnsi"/>
          <w:sz w:val="20"/>
          <w:szCs w:val="20"/>
        </w:rPr>
        <w:t>9.-2021</w:t>
      </w:r>
      <w:r w:rsidRPr="00A27936">
        <w:rPr>
          <w:rFonts w:asciiTheme="majorHAnsi" w:hAnsiTheme="majorHAnsi"/>
          <w:sz w:val="20"/>
          <w:szCs w:val="20"/>
        </w:rPr>
        <w:t xml:space="preserve">. godine temelji se na </w:t>
      </w:r>
      <w:r w:rsidR="0033179F" w:rsidRPr="00A27936">
        <w:rPr>
          <w:rFonts w:asciiTheme="majorHAnsi" w:hAnsiTheme="majorHAnsi"/>
          <w:sz w:val="20"/>
          <w:szCs w:val="20"/>
        </w:rPr>
        <w:t>Zakonu o proračunu (Narodne novine, br. 87/08,</w:t>
      </w:r>
      <w:r w:rsidR="005A27FD" w:rsidRPr="00A27936">
        <w:rPr>
          <w:rFonts w:asciiTheme="majorHAnsi" w:hAnsiTheme="majorHAnsi"/>
          <w:sz w:val="20"/>
          <w:szCs w:val="20"/>
        </w:rPr>
        <w:t xml:space="preserve"> 136/12 i 15/15</w:t>
      </w:r>
      <w:r w:rsidRPr="00A27936">
        <w:rPr>
          <w:rFonts w:asciiTheme="majorHAnsi" w:hAnsiTheme="majorHAnsi"/>
          <w:sz w:val="20"/>
          <w:szCs w:val="20"/>
        </w:rPr>
        <w:t>)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201</w:t>
      </w:r>
      <w:r w:rsidR="00977154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33179F" w:rsidRPr="00A27936">
        <w:rPr>
          <w:rFonts w:asciiTheme="majorHAnsi" w:hAnsiTheme="majorHAnsi"/>
          <w:sz w:val="20"/>
          <w:szCs w:val="20"/>
        </w:rPr>
        <w:t xml:space="preserve"> financija. </w:t>
      </w:r>
    </w:p>
    <w:p w:rsidR="00B12D22" w:rsidRPr="00A27936" w:rsidRDefault="00B12D22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 xml:space="preserve">METODOLOGIJA IZRADE PRORAČUNA JEDINICA LOKALNE SAMOUPRAVE </w:t>
      </w:r>
    </w:p>
    <w:p w:rsidR="0033179F" w:rsidRPr="00A27936" w:rsidRDefault="0033179F" w:rsidP="00543F85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 propisana je Zakonom o proračunu i podzakonskim aktima kojima se regulira provedba Zakona</w:t>
      </w:r>
      <w:r w:rsidR="00B12D22" w:rsidRPr="00A27936">
        <w:rPr>
          <w:rFonts w:asciiTheme="majorHAnsi" w:hAnsiTheme="majorHAnsi"/>
          <w:sz w:val="20"/>
          <w:szCs w:val="20"/>
        </w:rPr>
        <w:t xml:space="preserve"> i to</w:t>
      </w:r>
      <w:r w:rsidRPr="00A27936">
        <w:rPr>
          <w:rFonts w:asciiTheme="majorHAnsi" w:hAnsiTheme="majorHAnsi"/>
          <w:sz w:val="20"/>
          <w:szCs w:val="20"/>
        </w:rPr>
        <w:t xml:space="preserve"> Pravilnikom o proračunskim klasifikacijama (Narodne novine, br. 26/10 i 120/13) i Pravilnikom o proračunskom računovodstvu i Računskom planu (Narodne novine, br. 124/14</w:t>
      </w:r>
      <w:r w:rsidR="00187A73">
        <w:rPr>
          <w:rFonts w:asciiTheme="majorHAnsi" w:hAnsiTheme="majorHAnsi"/>
          <w:sz w:val="20"/>
          <w:szCs w:val="20"/>
        </w:rPr>
        <w:t xml:space="preserve">, </w:t>
      </w:r>
      <w:r w:rsidR="00B12D22" w:rsidRPr="00A27936">
        <w:rPr>
          <w:rFonts w:asciiTheme="majorHAnsi" w:hAnsiTheme="majorHAnsi"/>
          <w:sz w:val="20"/>
          <w:szCs w:val="20"/>
        </w:rPr>
        <w:t>115/15</w:t>
      </w:r>
      <w:r w:rsidR="007269A7">
        <w:rPr>
          <w:rFonts w:asciiTheme="majorHAnsi" w:hAnsiTheme="majorHAnsi"/>
          <w:sz w:val="20"/>
          <w:szCs w:val="20"/>
        </w:rPr>
        <w:t>,</w:t>
      </w:r>
      <w:r w:rsidR="00187A73">
        <w:rPr>
          <w:rFonts w:asciiTheme="majorHAnsi" w:hAnsiTheme="majorHAnsi"/>
          <w:sz w:val="20"/>
          <w:szCs w:val="20"/>
        </w:rPr>
        <w:t xml:space="preserve"> 87/16</w:t>
      </w:r>
      <w:r w:rsidR="007269A7">
        <w:rPr>
          <w:rFonts w:asciiTheme="majorHAnsi" w:hAnsiTheme="majorHAnsi"/>
          <w:sz w:val="20"/>
          <w:szCs w:val="20"/>
        </w:rPr>
        <w:t xml:space="preserve"> i 3/18</w:t>
      </w:r>
      <w:r w:rsidRPr="00A27936">
        <w:rPr>
          <w:rFonts w:asciiTheme="majorHAnsi" w:hAnsiTheme="majorHAnsi"/>
          <w:sz w:val="20"/>
          <w:szCs w:val="20"/>
        </w:rPr>
        <w:t xml:space="preserve">). </w:t>
      </w:r>
    </w:p>
    <w:p w:rsidR="007500E8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Proračun jedinice lokalne samouprave sastoji se, sukladno članku 16. Zakona o proračunu, od općeg i posebnog dijela </w:t>
      </w:r>
      <w:r w:rsidR="00B12D22" w:rsidRPr="00A27936">
        <w:rPr>
          <w:rFonts w:asciiTheme="majorHAnsi" w:hAnsiTheme="majorHAnsi"/>
          <w:sz w:val="20"/>
          <w:szCs w:val="20"/>
        </w:rPr>
        <w:t>za 201</w:t>
      </w:r>
      <w:r w:rsidR="00977154">
        <w:rPr>
          <w:rFonts w:asciiTheme="majorHAnsi" w:hAnsiTheme="majorHAnsi"/>
          <w:sz w:val="20"/>
          <w:szCs w:val="20"/>
        </w:rPr>
        <w:t>9. godinu, projekcija za 2020</w:t>
      </w:r>
      <w:r w:rsidR="00B12D22"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21</w:t>
      </w:r>
      <w:r w:rsidR="00B12D22" w:rsidRPr="00A27936">
        <w:rPr>
          <w:rFonts w:asciiTheme="majorHAnsi" w:hAnsiTheme="majorHAnsi"/>
          <w:sz w:val="20"/>
          <w:szCs w:val="20"/>
        </w:rPr>
        <w:t xml:space="preserve">. godinu  </w:t>
      </w:r>
      <w:r w:rsidRPr="00A27936">
        <w:rPr>
          <w:rFonts w:asciiTheme="majorHAnsi" w:hAnsiTheme="majorHAnsi"/>
          <w:sz w:val="20"/>
          <w:szCs w:val="20"/>
        </w:rPr>
        <w:t xml:space="preserve">te plana razvojnih programa. </w:t>
      </w:r>
      <w:r w:rsidR="007500E8" w:rsidRPr="00A27936">
        <w:rPr>
          <w:rFonts w:asciiTheme="majorHAnsi" w:hAnsiTheme="majorHAnsi"/>
          <w:sz w:val="20"/>
          <w:szCs w:val="20"/>
        </w:rPr>
        <w:t xml:space="preserve">Opći dio proračuna predstavlja iskaz prihoda i primitaka te rashoda i izdataka po  ekonomskoj klasifikaciji. </w:t>
      </w:r>
      <w:r w:rsidRPr="00A27936">
        <w:rPr>
          <w:rFonts w:asciiTheme="majorHAnsi" w:hAnsiTheme="majorHAnsi"/>
          <w:sz w:val="20"/>
          <w:szCs w:val="20"/>
        </w:rPr>
        <w:t xml:space="preserve">Posebni dio proračuna sastoji se od plana rashoda i izdataka proračunskih korisnika iskazanih </w:t>
      </w:r>
      <w:r w:rsidR="007500E8" w:rsidRPr="00A27936">
        <w:rPr>
          <w:rFonts w:asciiTheme="majorHAnsi" w:hAnsiTheme="majorHAnsi"/>
          <w:sz w:val="20"/>
          <w:szCs w:val="20"/>
        </w:rPr>
        <w:t>prema organizacijskoj, programskoj i ekonomskoj klasifikaciji</w:t>
      </w:r>
      <w:r w:rsidRPr="00A27936">
        <w:rPr>
          <w:rFonts w:asciiTheme="majorHAnsi" w:hAnsiTheme="majorHAnsi"/>
          <w:sz w:val="20"/>
          <w:szCs w:val="20"/>
        </w:rPr>
        <w:t xml:space="preserve">. </w:t>
      </w:r>
    </w:p>
    <w:p w:rsidR="0033179F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Prema članku 17. Zakona o proračunu, financijski plan proračunskih korisnika čine prihodi i primici te rashodi i izdaci raspoređeni u programe koji se sastoje od aktivnosti i projekata. Financijski plan proračunskog korisnika mora obuhvatiti sve izvore financiranja, </w:t>
      </w:r>
      <w:r w:rsidR="004C051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 xml:space="preserve">što proizlazi iz članka 29. Zakona o proračunu.  </w:t>
      </w:r>
    </w:p>
    <w:p w:rsidR="0033179F" w:rsidRPr="00A27936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</w:t>
      </w:r>
      <w:r w:rsidR="0033179F" w:rsidRPr="00A27936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A27936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A27936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Pr="00A27936">
        <w:rPr>
          <w:rFonts w:asciiTheme="majorHAnsi" w:hAnsiTheme="majorHAnsi"/>
          <w:sz w:val="20"/>
          <w:szCs w:val="20"/>
        </w:rPr>
        <w:t xml:space="preserve"> je postalo obveza od 2016. godine</w:t>
      </w:r>
      <w:r w:rsidR="0033179F" w:rsidRPr="00A27936">
        <w:rPr>
          <w:rFonts w:asciiTheme="majorHAnsi" w:hAnsiTheme="majorHAnsi"/>
          <w:sz w:val="20"/>
          <w:szCs w:val="20"/>
        </w:rPr>
        <w:t>.</w:t>
      </w:r>
    </w:p>
    <w:p w:rsidR="007500E8" w:rsidRPr="00A27936" w:rsidRDefault="0033179F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Planovi razvojnih programa predstavljaju strateško-planski dokument jedinice lokalne samouprave stvarajući dobru pretpostavku za povezivanje svih strateških dokumenata jedinice sa proračunskim planiranjem. </w:t>
      </w:r>
    </w:p>
    <w:p w:rsidR="00FB3ED0" w:rsidRPr="00A27936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Predstavničko tijelo jedinice lokalne i područne (regionalne) samouprave donosi proračun jedinice lokalne i područne (regionalne) samouprave za 201</w:t>
      </w:r>
      <w:r w:rsidR="00977154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 godinu na razini podskupine (treća razina račun</w:t>
      </w:r>
      <w:r w:rsidR="00977154">
        <w:rPr>
          <w:rFonts w:asciiTheme="majorHAnsi" w:hAnsiTheme="majorHAnsi"/>
          <w:sz w:val="20"/>
          <w:szCs w:val="20"/>
        </w:rPr>
        <w:t>skog plana), a projekcije za 2020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 xml:space="preserve">. godinu na razini skupine (druga razina računskog plana). </w:t>
      </w:r>
    </w:p>
    <w:p w:rsidR="00F364D9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Troškovi provođenja postojećih programa, odnosno aktivnosti obuhvaćaju troškove održavanja postojeće razine usluga, uzimajući u obzir očekivane promjene u broju korisnika i primjerice tekuće troškove kapitalnih projekata, koji će se završiti tokom planiranog razdoblja. Troškovi novih programa uključuju i troškove promjene razine i vrste usluge.</w:t>
      </w:r>
    </w:p>
    <w:p w:rsidR="00F364D9" w:rsidRPr="00A27936" w:rsidRDefault="00F364D9" w:rsidP="00FB3ED0">
      <w:pPr>
        <w:jc w:val="both"/>
        <w:rPr>
          <w:rFonts w:asciiTheme="majorHAnsi" w:hAnsiTheme="majorHAnsi"/>
          <w:sz w:val="20"/>
          <w:szCs w:val="20"/>
        </w:rPr>
      </w:pPr>
    </w:p>
    <w:p w:rsidR="008C38D0" w:rsidRDefault="008C38D0" w:rsidP="008C38D0">
      <w:pPr>
        <w:jc w:val="both"/>
        <w:rPr>
          <w:rFonts w:asciiTheme="majorHAnsi" w:hAnsiTheme="majorHAnsi"/>
          <w:b/>
          <w:sz w:val="18"/>
          <w:szCs w:val="18"/>
        </w:rPr>
      </w:pPr>
      <w:r w:rsidRPr="008C38D0">
        <w:rPr>
          <w:rFonts w:asciiTheme="majorHAnsi" w:hAnsiTheme="majorHAnsi"/>
          <w:b/>
          <w:sz w:val="18"/>
          <w:szCs w:val="18"/>
        </w:rPr>
        <w:t>Kretanje najznačajnijih prihoda i primitaka proračuna Grada Korčule u razdoblju od 201</w:t>
      </w:r>
      <w:r w:rsidR="00434E78">
        <w:rPr>
          <w:rFonts w:asciiTheme="majorHAnsi" w:hAnsiTheme="majorHAnsi"/>
          <w:b/>
          <w:sz w:val="18"/>
          <w:szCs w:val="18"/>
        </w:rPr>
        <w:t>7</w:t>
      </w:r>
      <w:r w:rsidR="003332E1">
        <w:rPr>
          <w:rFonts w:asciiTheme="majorHAnsi" w:hAnsiTheme="majorHAnsi"/>
          <w:b/>
          <w:sz w:val="18"/>
          <w:szCs w:val="18"/>
        </w:rPr>
        <w:t>. do 2021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792" w:type="dxa"/>
        <w:tblInd w:w="97" w:type="dxa"/>
        <w:tblLook w:val="04A0"/>
      </w:tblPr>
      <w:tblGrid>
        <w:gridCol w:w="2138"/>
        <w:gridCol w:w="943"/>
        <w:gridCol w:w="855"/>
        <w:gridCol w:w="726"/>
        <w:gridCol w:w="984"/>
        <w:gridCol w:w="726"/>
        <w:gridCol w:w="984"/>
        <w:gridCol w:w="726"/>
        <w:gridCol w:w="984"/>
        <w:gridCol w:w="726"/>
      </w:tblGrid>
      <w:tr w:rsidR="008C38D0" w:rsidRPr="00CB5CD0" w:rsidTr="008C38D0">
        <w:trPr>
          <w:trHeight w:val="45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EC6637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</w:t>
            </w:r>
            <w:r w:rsidR="005C2D84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7</w:t>
            </w:r>
            <w:r w:rsidR="008C38D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030760" w:rsidP="00102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201</w:t>
            </w:r>
            <w:r w:rsidR="0010220C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8</w:t>
            </w:r>
            <w:r w:rsidR="008C38D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0D77A4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2019</w:t>
            </w:r>
            <w:r w:rsidR="008C38D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0D77A4" w:rsidP="00030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2020</w:t>
            </w:r>
            <w:r w:rsidR="008C38D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073B0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2021</w:t>
            </w:r>
            <w:r w:rsidR="008C38D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0" w:rsidRPr="00CB5C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8:6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4101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5C2D8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9.118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D5378B" w:rsidP="00D537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51.655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F164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F1649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52.002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5439B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073B0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2.721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175FB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73B0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8827A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3.281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9.</w:t>
            </w:r>
            <w:r w:rsidR="005C2D8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D5378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12.647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439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13.4</w:t>
            </w:r>
            <w:r w:rsidR="00073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5439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175FB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827A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13.850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C2D8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7.511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C65C0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23.904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9D713C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5439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23.746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23.803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175FB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827A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23.803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4101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</w:t>
            </w:r>
            <w:r w:rsidR="005C2D8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C65C0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6.859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439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7.266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175FB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827A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C38D0" w:rsidRPr="008C38D0" w:rsidTr="008C38D0">
        <w:trPr>
          <w:trHeight w:val="52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C2D8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4.326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C65C0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5.096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5.347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5439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5.522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827A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C38D0" w:rsidRPr="008C38D0" w:rsidTr="008C38D0">
        <w:trPr>
          <w:trHeight w:val="52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F364D9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prodaje nefin.  imovine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C2D8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C65C08" w:rsidP="00C65C0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2.000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0D77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1.130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0D77A4" w:rsidP="000D77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1.150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468D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827A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C38D0" w:rsidRPr="008C38D0" w:rsidTr="008C38D0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4101A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1022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C65C0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073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5439B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073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6C009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468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827A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.278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D0" w:rsidRPr="008C38D0" w:rsidRDefault="008C38D0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:rsidR="005428BE" w:rsidRP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5428BE">
        <w:rPr>
          <w:rFonts w:asciiTheme="majorHAnsi" w:hAnsiTheme="majorHAnsi"/>
          <w:b/>
          <w:sz w:val="18"/>
          <w:szCs w:val="18"/>
        </w:rPr>
        <w:lastRenderedPageBreak/>
        <w:t>Kretanje najznačajnijih rashoda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201</w:t>
      </w:r>
      <w:r w:rsidR="00F72B93">
        <w:rPr>
          <w:rFonts w:asciiTheme="majorHAnsi" w:hAnsiTheme="majorHAnsi"/>
          <w:b/>
          <w:sz w:val="18"/>
          <w:szCs w:val="18"/>
        </w:rPr>
        <w:t>7</w:t>
      </w:r>
      <w:r>
        <w:rPr>
          <w:rFonts w:asciiTheme="majorHAnsi" w:hAnsiTheme="majorHAnsi"/>
          <w:b/>
          <w:sz w:val="18"/>
          <w:szCs w:val="18"/>
        </w:rPr>
        <w:t>. do 20</w:t>
      </w:r>
      <w:r w:rsidR="00F72B93">
        <w:rPr>
          <w:rFonts w:asciiTheme="majorHAnsi" w:hAnsiTheme="majorHAnsi"/>
          <w:b/>
          <w:sz w:val="18"/>
          <w:szCs w:val="18"/>
        </w:rPr>
        <w:t>21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720" w:type="dxa"/>
        <w:tblInd w:w="97" w:type="dxa"/>
        <w:tblLook w:val="04A0"/>
      </w:tblPr>
      <w:tblGrid>
        <w:gridCol w:w="2086"/>
        <w:gridCol w:w="923"/>
        <w:gridCol w:w="855"/>
        <w:gridCol w:w="726"/>
        <w:gridCol w:w="984"/>
        <w:gridCol w:w="726"/>
        <w:gridCol w:w="984"/>
        <w:gridCol w:w="726"/>
        <w:gridCol w:w="984"/>
        <w:gridCol w:w="726"/>
      </w:tblGrid>
      <w:tr w:rsidR="005428BE" w:rsidRPr="005428BE" w:rsidTr="005428BE">
        <w:trPr>
          <w:trHeight w:val="45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5428BE" w:rsidP="00102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</w:t>
            </w:r>
            <w:r w:rsidR="0010220C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C65C08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2018</w:t>
            </w:r>
            <w:r w:rsidR="005428BE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8827A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2019</w:t>
            </w:r>
            <w:r w:rsidR="005428BE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8827A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2020</w:t>
            </w:r>
            <w:r w:rsidR="005428BE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CB5CD0" w:rsidRDefault="005428BE" w:rsidP="008827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="00E047F0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202</w:t>
            </w:r>
            <w:r w:rsidR="008827A3"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1</w:t>
            </w: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8:6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5428BE" w:rsidRPr="005428BE" w:rsidTr="005428BE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4101A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  <w:r w:rsidR="00BB618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878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56.830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  <w:r w:rsidR="00F552E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52.002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C7AF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9F502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52.721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E047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52.817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20068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</w:t>
            </w:r>
            <w:r w:rsidR="001022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7.462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C7AF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CB5C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10220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552E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</w:t>
            </w:r>
            <w:r w:rsidR="000D7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8.66</w:t>
            </w:r>
            <w:r w:rsidR="00F1649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10220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F1649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2B1A28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10220C" w:rsidP="002B1A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8C7A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</w:t>
            </w:r>
            <w:r w:rsidR="00F552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CB5C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2B1A28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68</w:t>
            </w:r>
            <w:r w:rsidR="001022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552E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0D7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9F50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CB5C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10220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4.21</w:t>
            </w:r>
            <w:r w:rsidR="00F1649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E047F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CB5C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2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C44628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</w:t>
            </w:r>
            <w:r w:rsidR="005428BE"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za nabavu nefinanc. imovine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2B1A28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</w:t>
            </w:r>
            <w:r w:rsidR="00BB618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34.892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29.796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82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29.894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CB5C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29.894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28BE" w:rsidRPr="005428BE" w:rsidTr="005428BE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izdaci za financ. imovinu i otpl. zajm.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2B1A28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BB618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0D77A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8C7AF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9F502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F1649C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E047F0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E" w:rsidRPr="005428BE" w:rsidRDefault="005428BE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:rsidR="00FB3ED0" w:rsidRDefault="00FB3ED0" w:rsidP="007500E8">
      <w:pPr>
        <w:jc w:val="both"/>
        <w:rPr>
          <w:rFonts w:asciiTheme="majorHAnsi" w:hAnsiTheme="majorHAnsi"/>
          <w:sz w:val="20"/>
          <w:szCs w:val="20"/>
        </w:rPr>
      </w:pPr>
    </w:p>
    <w:p w:rsidR="005428BE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Upravni odjeli Grada Korčule će prijedloge za proračun utvrditi do iznosa proračuna </w:t>
      </w:r>
      <w:r w:rsidR="00C44628">
        <w:rPr>
          <w:rFonts w:asciiTheme="majorHAnsi" w:hAnsiTheme="majorHAnsi"/>
          <w:sz w:val="20"/>
          <w:szCs w:val="20"/>
        </w:rPr>
        <w:t>iz 201</w:t>
      </w:r>
      <w:r w:rsidR="00F72B93">
        <w:rPr>
          <w:rFonts w:asciiTheme="majorHAnsi" w:hAnsiTheme="majorHAnsi"/>
          <w:sz w:val="20"/>
          <w:szCs w:val="20"/>
        </w:rPr>
        <w:t>8</w:t>
      </w:r>
      <w:r w:rsidR="00C44628">
        <w:rPr>
          <w:rFonts w:asciiTheme="majorHAnsi" w:hAnsiTheme="majorHAnsi"/>
          <w:sz w:val="20"/>
          <w:szCs w:val="20"/>
        </w:rPr>
        <w:t xml:space="preserve">. godine </w:t>
      </w:r>
      <w:r>
        <w:rPr>
          <w:rFonts w:asciiTheme="majorHAnsi" w:hAnsiTheme="majorHAnsi"/>
          <w:sz w:val="20"/>
          <w:szCs w:val="20"/>
        </w:rPr>
        <w:t>u suradnji s gradonačelnikom</w:t>
      </w:r>
      <w:r w:rsidRPr="007A1F2C">
        <w:rPr>
          <w:rFonts w:asciiTheme="majorHAnsi" w:hAnsiTheme="majorHAnsi"/>
          <w:sz w:val="20"/>
          <w:szCs w:val="20"/>
        </w:rPr>
        <w:t xml:space="preserve"> </w:t>
      </w:r>
      <w:r w:rsidR="00C44628">
        <w:rPr>
          <w:rFonts w:asciiTheme="majorHAnsi" w:hAnsiTheme="majorHAnsi"/>
          <w:sz w:val="20"/>
          <w:szCs w:val="20"/>
        </w:rPr>
        <w:t>i  Upravnim odjelom</w:t>
      </w:r>
      <w:r>
        <w:rPr>
          <w:rFonts w:asciiTheme="majorHAnsi" w:hAnsiTheme="majorHAnsi"/>
          <w:sz w:val="20"/>
          <w:szCs w:val="20"/>
        </w:rPr>
        <w:t xml:space="preserve"> za proračun i financije.</w:t>
      </w:r>
    </w:p>
    <w:p w:rsidR="00C44628" w:rsidRPr="00A27936" w:rsidRDefault="00C44628" w:rsidP="007500E8">
      <w:pPr>
        <w:jc w:val="both"/>
        <w:rPr>
          <w:rFonts w:asciiTheme="majorHAnsi" w:hAnsiTheme="majorHAnsi"/>
          <w:sz w:val="20"/>
          <w:szCs w:val="20"/>
        </w:rPr>
      </w:pPr>
    </w:p>
    <w:p w:rsidR="0033179F" w:rsidRPr="00A27936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Svi proračunski korisnici Grada Korčule obvezni su izraditi prijedlog financijskog plana za 201</w:t>
      </w:r>
      <w:r w:rsidR="00F72B93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 godinu i pro</w:t>
      </w:r>
      <w:r w:rsidR="00F72B93">
        <w:rPr>
          <w:rFonts w:asciiTheme="majorHAnsi" w:hAnsiTheme="majorHAnsi"/>
          <w:sz w:val="20"/>
          <w:szCs w:val="20"/>
        </w:rPr>
        <w:t>cjene za razdoblje 2020.-2021</w:t>
      </w:r>
      <w:r w:rsidRPr="00A27936">
        <w:rPr>
          <w:rFonts w:asciiTheme="majorHAnsi" w:hAnsiTheme="majorHAnsi"/>
          <w:sz w:val="20"/>
          <w:szCs w:val="20"/>
        </w:rPr>
        <w:t>. godine.</w:t>
      </w:r>
      <w:r w:rsidR="007A1F2C">
        <w:rPr>
          <w:rFonts w:asciiTheme="majorHAnsi" w:hAnsiTheme="majorHAnsi"/>
          <w:sz w:val="20"/>
          <w:szCs w:val="20"/>
        </w:rPr>
        <w:t xml:space="preserve"> Pritom koristiti sve </w:t>
      </w:r>
      <w:r w:rsidR="00DD7B9B">
        <w:rPr>
          <w:rFonts w:asciiTheme="majorHAnsi" w:hAnsiTheme="majorHAnsi"/>
          <w:sz w:val="20"/>
          <w:szCs w:val="20"/>
        </w:rPr>
        <w:t xml:space="preserve">detaljne </w:t>
      </w:r>
      <w:r w:rsidR="007A1F2C">
        <w:rPr>
          <w:rFonts w:asciiTheme="majorHAnsi" w:hAnsiTheme="majorHAnsi"/>
          <w:sz w:val="20"/>
          <w:szCs w:val="20"/>
        </w:rPr>
        <w:t>stručne naputke iz Uputa</w:t>
      </w:r>
      <w:r w:rsidR="00DD7B9B">
        <w:rPr>
          <w:rFonts w:asciiTheme="majorHAnsi" w:hAnsiTheme="majorHAnsi"/>
          <w:sz w:val="20"/>
          <w:szCs w:val="20"/>
        </w:rPr>
        <w:t xml:space="preserve"> </w:t>
      </w:r>
      <w:r w:rsidR="00DD7B9B" w:rsidRPr="00A27936">
        <w:rPr>
          <w:rFonts w:asciiTheme="majorHAnsi" w:hAnsiTheme="majorHAnsi"/>
          <w:sz w:val="20"/>
          <w:szCs w:val="20"/>
        </w:rPr>
        <w:t>za izradu proračuna jedinica lokalne i područne (regional</w:t>
      </w:r>
      <w:r w:rsidR="00F72B93">
        <w:rPr>
          <w:rFonts w:asciiTheme="majorHAnsi" w:hAnsiTheme="majorHAnsi"/>
          <w:sz w:val="20"/>
          <w:szCs w:val="20"/>
        </w:rPr>
        <w:t>ne) samouprave za razdoblje 2019.-2021</w:t>
      </w:r>
      <w:r w:rsidR="00DD7B9B" w:rsidRPr="00A27936">
        <w:rPr>
          <w:rFonts w:asciiTheme="majorHAnsi" w:hAnsiTheme="majorHAnsi"/>
          <w:sz w:val="20"/>
          <w:szCs w:val="20"/>
        </w:rPr>
        <w:t>. koje je objavilo Ministarstvo</w:t>
      </w:r>
      <w:r w:rsidR="00DD7B9B">
        <w:rPr>
          <w:rFonts w:asciiTheme="majorHAnsi" w:hAnsiTheme="majorHAnsi"/>
          <w:sz w:val="20"/>
          <w:szCs w:val="20"/>
        </w:rPr>
        <w:t xml:space="preserve"> financija. 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financi</w:t>
      </w:r>
      <w:r w:rsidR="009D5C00" w:rsidRPr="00A27936">
        <w:rPr>
          <w:rFonts w:asciiTheme="majorHAnsi" w:hAnsiTheme="majorHAnsi"/>
          <w:sz w:val="20"/>
          <w:szCs w:val="20"/>
        </w:rPr>
        <w:t>j</w:t>
      </w:r>
      <w:r w:rsidRPr="00A27936">
        <w:rPr>
          <w:rFonts w:asciiTheme="majorHAnsi" w:hAnsiTheme="majorHAnsi"/>
          <w:sz w:val="20"/>
          <w:szCs w:val="20"/>
        </w:rPr>
        <w:t>skom planu se iskazuju svi prihodi i primici, rashodi i izdaci</w:t>
      </w:r>
      <w:r w:rsidR="00363671" w:rsidRPr="00A27936">
        <w:rPr>
          <w:rFonts w:asciiTheme="majorHAnsi" w:hAnsiTheme="majorHAnsi"/>
          <w:sz w:val="20"/>
          <w:szCs w:val="20"/>
        </w:rPr>
        <w:t xml:space="preserve"> pojedino</w:t>
      </w:r>
      <w:r w:rsidR="009D5C00" w:rsidRPr="00A27936">
        <w:rPr>
          <w:rFonts w:asciiTheme="majorHAnsi" w:hAnsiTheme="majorHAnsi"/>
          <w:sz w:val="20"/>
          <w:szCs w:val="20"/>
        </w:rPr>
        <w:t>g korisnika</w:t>
      </w:r>
      <w:r w:rsidR="001F0125" w:rsidRPr="00A27936">
        <w:rPr>
          <w:rFonts w:asciiTheme="majorHAnsi" w:hAnsiTheme="majorHAnsi"/>
          <w:sz w:val="20"/>
          <w:szCs w:val="20"/>
        </w:rPr>
        <w:t>.</w:t>
      </w:r>
      <w:r w:rsidR="00D16DDF" w:rsidRPr="00A27936">
        <w:rPr>
          <w:rFonts w:asciiTheme="majorHAnsi" w:hAnsiTheme="majorHAnsi"/>
          <w:sz w:val="20"/>
          <w:szCs w:val="20"/>
        </w:rPr>
        <w:t xml:space="preserve"> U financijskom planu se iskazuje i rezultat poslovanja iz prethodnog razdoblja odnosno predviđeni manjak odnosno višak prihoda.</w:t>
      </w:r>
      <w:r w:rsidR="007F2ECC" w:rsidRPr="00A27936">
        <w:rPr>
          <w:rFonts w:asciiTheme="majorHAnsi" w:hAnsiTheme="majorHAnsi"/>
          <w:sz w:val="20"/>
          <w:szCs w:val="20"/>
        </w:rPr>
        <w:t xml:space="preserve"> Financijski plan treba biti uravnotežen.</w:t>
      </w:r>
    </w:p>
    <w:p w:rsidR="001F0125" w:rsidRPr="00A27936" w:rsidRDefault="001F012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 financijskog plana proračunskog korisnika proračuna Grada Korčule za razdoblje 201</w:t>
      </w:r>
      <w:r w:rsidR="00F72B93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.-20</w:t>
      </w:r>
      <w:r w:rsidR="00F72B93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>. godine sadrži prema Zakonu o proračunu: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procjenu prihoda i primitaka iskazanu po vrstama za 201</w:t>
      </w:r>
      <w:r w:rsidR="00F46785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F46785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godinu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plan rashoda i izdataka za 201</w:t>
      </w:r>
      <w:r w:rsidR="00F46785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F46785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godinu, razvrstane prema proračunskim klasifikacijama i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obrazloženj</w:t>
      </w:r>
      <w:r w:rsidR="00D16DDF" w:rsidRPr="00A27936">
        <w:rPr>
          <w:rFonts w:asciiTheme="majorHAnsi" w:hAnsiTheme="majorHAnsi"/>
          <w:sz w:val="20"/>
          <w:szCs w:val="20"/>
        </w:rPr>
        <w:t>e prijedloga financijskog plana.</w:t>
      </w:r>
    </w:p>
    <w:p w:rsidR="00D16DDF" w:rsidRPr="00A27936" w:rsidRDefault="00D16DDF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Prihodi i primitci, rashodi i izdaci planiraju se na razini </w:t>
      </w:r>
      <w:r w:rsidRPr="00A27936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A27936">
        <w:rPr>
          <w:rFonts w:asciiTheme="majorHAnsi" w:hAnsiTheme="majorHAnsi"/>
          <w:sz w:val="20"/>
          <w:szCs w:val="20"/>
        </w:rPr>
        <w:t xml:space="preserve">(četvrta razina) </w:t>
      </w:r>
      <w:r w:rsidRPr="00A27936">
        <w:rPr>
          <w:rFonts w:asciiTheme="majorHAnsi" w:hAnsiTheme="majorHAnsi"/>
          <w:b/>
          <w:sz w:val="20"/>
          <w:szCs w:val="20"/>
        </w:rPr>
        <w:t>za 201</w:t>
      </w:r>
      <w:r w:rsidR="00F46785">
        <w:rPr>
          <w:rFonts w:asciiTheme="majorHAnsi" w:hAnsiTheme="majorHAnsi"/>
          <w:b/>
          <w:sz w:val="20"/>
          <w:szCs w:val="20"/>
        </w:rPr>
        <w:t>9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  <w:r w:rsidR="004C0516">
        <w:rPr>
          <w:rFonts w:asciiTheme="majorHAnsi" w:hAnsiTheme="majorHAnsi"/>
          <w:sz w:val="20"/>
          <w:szCs w:val="20"/>
        </w:rPr>
        <w:t xml:space="preserve"> a za 20</w:t>
      </w:r>
      <w:r w:rsidR="00F46785">
        <w:rPr>
          <w:rFonts w:asciiTheme="majorHAnsi" w:hAnsiTheme="majorHAnsi"/>
          <w:sz w:val="20"/>
          <w:szCs w:val="20"/>
        </w:rPr>
        <w:t>20</w:t>
      </w:r>
      <w:r w:rsidR="004C0516">
        <w:rPr>
          <w:rFonts w:asciiTheme="majorHAnsi" w:hAnsiTheme="majorHAnsi"/>
          <w:sz w:val="20"/>
          <w:szCs w:val="20"/>
        </w:rPr>
        <w:t>. i 202</w:t>
      </w:r>
      <w:r w:rsidR="00F46785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godinu na razini</w:t>
      </w:r>
      <w:r w:rsidR="007F2ECC" w:rsidRPr="00A27936">
        <w:rPr>
          <w:rFonts w:asciiTheme="majorHAnsi" w:hAnsiTheme="majorHAnsi"/>
          <w:sz w:val="20"/>
          <w:szCs w:val="20"/>
        </w:rPr>
        <w:t xml:space="preserve"> skupine (druga razina računskog plana) te ih tako razrađene dostavljaju nadležnom upravnom odjelu.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Upravno vijeće ili drugo upravljačko tijelo korisnika obvezno je usvojiti financijski plan korisnika na razini podskupine za 201</w:t>
      </w:r>
      <w:r w:rsidR="001E28A4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 godinu a na razin</w:t>
      </w:r>
      <w:r w:rsidR="001E28A4">
        <w:rPr>
          <w:rFonts w:asciiTheme="majorHAnsi" w:hAnsiTheme="majorHAnsi"/>
          <w:sz w:val="20"/>
          <w:szCs w:val="20"/>
        </w:rPr>
        <w:t>i skupine za 2020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1E28A4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>. godinu najkasnije do 31. prosinca 201</w:t>
      </w:r>
      <w:r w:rsidR="001E28A4">
        <w:rPr>
          <w:rFonts w:asciiTheme="majorHAnsi" w:hAnsiTheme="majorHAnsi"/>
          <w:sz w:val="20"/>
          <w:szCs w:val="20"/>
        </w:rPr>
        <w:t>8</w:t>
      </w:r>
      <w:r w:rsidRPr="00A27936">
        <w:rPr>
          <w:rFonts w:asciiTheme="majorHAnsi" w:hAnsiTheme="majorHAnsi"/>
          <w:sz w:val="20"/>
          <w:szCs w:val="20"/>
        </w:rPr>
        <w:t>. godine.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financijskog plana proračunskog korisn</w:t>
      </w:r>
      <w:r w:rsidR="00C44628">
        <w:rPr>
          <w:rFonts w:asciiTheme="majorHAnsi" w:hAnsiTheme="majorHAnsi"/>
          <w:sz w:val="20"/>
          <w:szCs w:val="20"/>
        </w:rPr>
        <w:t>ika dan je u prilogu ovih Uputa a</w:t>
      </w:r>
      <w:r w:rsidRPr="00A27936">
        <w:rPr>
          <w:rFonts w:asciiTheme="majorHAnsi" w:hAnsiTheme="majorHAnsi"/>
          <w:sz w:val="20"/>
          <w:szCs w:val="20"/>
        </w:rPr>
        <w:t xml:space="preserve"> sastoji se od  Općeg dijela, Plana prihoda i primitaka te Plana rashoda i izdataka.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obrazloženju financijskog plana koriste se dvije vrste pokazatelja</w:t>
      </w:r>
      <w:r w:rsidR="00FB3ED0" w:rsidRPr="00A27936">
        <w:rPr>
          <w:rFonts w:asciiTheme="majorHAnsi" w:hAnsiTheme="majorHAnsi"/>
          <w:sz w:val="20"/>
          <w:szCs w:val="20"/>
        </w:rPr>
        <w:t>: pokazatelji učinka i pokazatelji rezultata. Proračunski korisnici dužni su samostalno utvrditi pokazatelje rezultata te utvrditi polazne i ciljane vrijednosti za ovo plansko razdoblje.</w:t>
      </w:r>
    </w:p>
    <w:p w:rsidR="00C44628" w:rsidRDefault="00C44628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C44628" w:rsidRDefault="00C44628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CB5CD0">
        <w:rPr>
          <w:rFonts w:asciiTheme="majorHAnsi" w:hAnsiTheme="majorHAnsi"/>
          <w:b/>
          <w:sz w:val="20"/>
          <w:szCs w:val="20"/>
        </w:rPr>
        <w:lastRenderedPageBreak/>
        <w:t>Prijedlog visine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9080" w:type="dxa"/>
        <w:tblInd w:w="97" w:type="dxa"/>
        <w:tblLook w:val="04A0"/>
      </w:tblPr>
      <w:tblGrid>
        <w:gridCol w:w="826"/>
        <w:gridCol w:w="3018"/>
        <w:gridCol w:w="928"/>
        <w:gridCol w:w="719"/>
        <w:gridCol w:w="715"/>
        <w:gridCol w:w="720"/>
        <w:gridCol w:w="720"/>
        <w:gridCol w:w="719"/>
        <w:gridCol w:w="715"/>
      </w:tblGrid>
      <w:tr w:rsidR="007A1F2C" w:rsidRPr="007A1F2C" w:rsidTr="00DD7B9B">
        <w:trPr>
          <w:trHeight w:val="5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RKP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Korisnik \ godina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F2C" w:rsidRPr="007A1F2C" w:rsidRDefault="007A1F2C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Plan   201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6871D4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2019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6871D4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2020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21</w:t>
            </w: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A1F2C" w:rsidRPr="007A1F2C" w:rsidTr="00DD7B9B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 tis. HRK)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31954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31962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Dječji vrtić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F1511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DD7B9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31987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Gradska knjižnica „Ivan Vidali“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A9424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A9424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31979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Gradski muzej Korčule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6871D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49413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Centar za kulturu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B6D2B" w:rsidP="007B6D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B6D2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B6D2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B6D2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49171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Ustanova Športski objekti Korčule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6871D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.680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A57A07" w:rsidRPr="00A27936" w:rsidRDefault="00A57A07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A02133" w:rsidRPr="00A27936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Prijedlogom visine financijskog plana korisnika proračuna Grada Korčule planirana su sredstva za provedbu postoje</w:t>
      </w:r>
      <w:r w:rsidR="00A02133" w:rsidRPr="00A27936">
        <w:rPr>
          <w:rFonts w:asciiTheme="majorHAnsi" w:hAnsiTheme="majorHAnsi"/>
          <w:sz w:val="20"/>
          <w:szCs w:val="20"/>
        </w:rPr>
        <w:t xml:space="preserve">ćih </w:t>
      </w:r>
      <w:r w:rsidR="00737CD3" w:rsidRPr="00A27936">
        <w:rPr>
          <w:rFonts w:asciiTheme="majorHAnsi" w:hAnsiTheme="majorHAnsi"/>
          <w:sz w:val="20"/>
          <w:szCs w:val="20"/>
        </w:rPr>
        <w:t xml:space="preserve">redovnih </w:t>
      </w:r>
      <w:r w:rsidR="00A02133" w:rsidRPr="00A27936">
        <w:rPr>
          <w:rFonts w:asciiTheme="majorHAnsi" w:hAnsiTheme="majorHAnsi"/>
          <w:sz w:val="20"/>
          <w:szCs w:val="20"/>
        </w:rPr>
        <w:t>programa odnosno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 određenog korisnika (plaće, materijalni troškovi i uobičajene manje aktivnosti).</w:t>
      </w:r>
    </w:p>
    <w:p w:rsidR="00346ADE" w:rsidRPr="00A27936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</w:t>
      </w:r>
      <w:r w:rsidR="00216322" w:rsidRPr="00A27936">
        <w:rPr>
          <w:rFonts w:asciiTheme="majorHAnsi" w:hAnsiTheme="majorHAnsi"/>
          <w:sz w:val="20"/>
          <w:szCs w:val="20"/>
        </w:rPr>
        <w:t xml:space="preserve">aki korisnik će dobiti potrebno </w:t>
      </w:r>
      <w:r w:rsidRPr="00A27936">
        <w:rPr>
          <w:rFonts w:asciiTheme="majorHAnsi" w:hAnsiTheme="majorHAnsi"/>
          <w:sz w:val="20"/>
          <w:szCs w:val="20"/>
        </w:rPr>
        <w:t>dodatno</w:t>
      </w:r>
      <w:r w:rsidR="00A57A07" w:rsidRPr="00A2793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>obrazloženje, podatke</w:t>
      </w:r>
      <w:r w:rsidR="00A57A07" w:rsidRPr="00A27936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:rsidR="00216322" w:rsidRPr="00A27936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Šifre i nazivi programa, aktivnosti i projekata potrebni pri izradi plana prilog su ovih Uputa.</w:t>
      </w:r>
    </w:p>
    <w:p w:rsidR="00216322" w:rsidRPr="00A27936" w:rsidRDefault="00216322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A27936">
        <w:rPr>
          <w:rFonts w:asciiTheme="majorHAnsi" w:hAnsiTheme="majorHAnsi"/>
          <w:b/>
          <w:sz w:val="20"/>
          <w:szCs w:val="20"/>
        </w:rPr>
        <w:t>3.8. Rokovi izrade planova proračunskih korisnika i</w:t>
      </w:r>
      <w:r w:rsidR="007A1F2C">
        <w:rPr>
          <w:rFonts w:asciiTheme="majorHAnsi" w:hAnsiTheme="majorHAnsi"/>
          <w:b/>
          <w:sz w:val="20"/>
          <w:szCs w:val="20"/>
        </w:rPr>
        <w:t xml:space="preserve"> proračuna Grada Korčule za 201</w:t>
      </w:r>
      <w:r w:rsidR="001E28A4">
        <w:rPr>
          <w:rFonts w:asciiTheme="majorHAnsi" w:hAnsiTheme="majorHAnsi"/>
          <w:b/>
          <w:sz w:val="20"/>
          <w:szCs w:val="20"/>
        </w:rPr>
        <w:t>9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</w:p>
    <w:p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Temeljem ovih Uputa, korisnici proračuna Grada Korčule obvezni su dostaviti usklađeni prijedlog financijskog plana nadležnom upravnom odjelu najkasnije do </w:t>
      </w:r>
      <w:r w:rsidR="001E28A4">
        <w:rPr>
          <w:rFonts w:asciiTheme="majorHAnsi" w:hAnsiTheme="majorHAnsi"/>
          <w:b/>
          <w:sz w:val="20"/>
          <w:szCs w:val="20"/>
        </w:rPr>
        <w:t>5</w:t>
      </w:r>
      <w:r w:rsidR="007A1F2C">
        <w:rPr>
          <w:rFonts w:asciiTheme="majorHAnsi" w:hAnsiTheme="majorHAnsi"/>
          <w:b/>
          <w:sz w:val="20"/>
          <w:szCs w:val="20"/>
        </w:rPr>
        <w:t>. listopada 201</w:t>
      </w:r>
      <w:r w:rsidR="001E28A4">
        <w:rPr>
          <w:rFonts w:asciiTheme="majorHAnsi" w:hAnsiTheme="majorHAnsi"/>
          <w:b/>
          <w:sz w:val="20"/>
          <w:szCs w:val="20"/>
        </w:rPr>
        <w:t>8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proračun, uključujući</w:t>
      </w:r>
      <w:r w:rsidR="003D644B"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b/>
          <w:sz w:val="20"/>
          <w:szCs w:val="20"/>
        </w:rPr>
        <w:t>i razvojne programe</w:t>
      </w:r>
      <w:r w:rsidR="003D644B" w:rsidRPr="00A27936">
        <w:rPr>
          <w:rFonts w:asciiTheme="majorHAnsi" w:hAnsiTheme="majorHAnsi"/>
          <w:sz w:val="20"/>
          <w:szCs w:val="20"/>
        </w:rPr>
        <w:t xml:space="preserve">, dostaviti Upravnom odjelu za proračun i financije najkasnije 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1E28A4" w:rsidRPr="001E28A4">
        <w:rPr>
          <w:rFonts w:asciiTheme="majorHAnsi" w:hAnsiTheme="majorHAnsi"/>
          <w:b/>
          <w:sz w:val="20"/>
          <w:szCs w:val="20"/>
        </w:rPr>
        <w:t>10</w:t>
      </w:r>
      <w:r w:rsidR="001E28A4">
        <w:rPr>
          <w:rFonts w:asciiTheme="majorHAnsi" w:hAnsiTheme="majorHAnsi"/>
          <w:b/>
          <w:sz w:val="20"/>
          <w:szCs w:val="20"/>
        </w:rPr>
        <w:t>. listopada 2018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 xml:space="preserve">financije izrađuje i dostavlja gradonačelniku nacrt prijedloga proračuna s projekcijama za najkasnije do </w:t>
      </w:r>
      <w:r w:rsidR="001E28A4">
        <w:rPr>
          <w:rFonts w:asciiTheme="majorHAnsi" w:hAnsiTheme="majorHAnsi"/>
          <w:b/>
          <w:sz w:val="20"/>
          <w:szCs w:val="20"/>
        </w:rPr>
        <w:t>24. listopada 2018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:rsidR="00E74D6B" w:rsidRDefault="00E74D6B" w:rsidP="00E74D6B">
      <w:pPr>
        <w:jc w:val="both"/>
        <w:rPr>
          <w:rFonts w:asciiTheme="majorHAnsi" w:hAnsiTheme="majorHAnsi"/>
          <w:sz w:val="20"/>
          <w:szCs w:val="20"/>
        </w:rPr>
      </w:pPr>
    </w:p>
    <w:p w:rsidR="002766B0" w:rsidRPr="00E74D6B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E74D6B">
        <w:rPr>
          <w:rFonts w:asciiTheme="majorHAnsi" w:hAnsiTheme="majorHAnsi"/>
          <w:b/>
          <w:bCs/>
          <w:sz w:val="20"/>
          <w:szCs w:val="20"/>
        </w:rPr>
        <w:t xml:space="preserve">DOSTUPNOST MATERIJALA NA WEB STRANICI </w:t>
      </w:r>
      <w:r w:rsidR="009E2F66" w:rsidRPr="00E74D6B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74D6B">
        <w:rPr>
          <w:rFonts w:asciiTheme="majorHAnsi" w:hAnsiTheme="majorHAnsi"/>
          <w:b/>
          <w:bCs/>
          <w:sz w:val="20"/>
          <w:szCs w:val="20"/>
        </w:rPr>
        <w:t>GRADA KORČULE</w:t>
      </w:r>
    </w:p>
    <w:p w:rsidR="009E2F66" w:rsidRPr="00A27936" w:rsidRDefault="009E2F66" w:rsidP="009E2F66">
      <w:pPr>
        <w:rPr>
          <w:rFonts w:asciiTheme="majorHAnsi" w:hAnsiTheme="majorHAnsi"/>
          <w:bCs/>
          <w:sz w:val="20"/>
          <w:szCs w:val="20"/>
        </w:rPr>
      </w:pPr>
      <w:r w:rsidRPr="00A27936">
        <w:rPr>
          <w:rFonts w:asciiTheme="majorHAnsi" w:hAnsiTheme="majorHAnsi"/>
          <w:bCs/>
          <w:sz w:val="20"/>
          <w:szCs w:val="20"/>
        </w:rPr>
        <w:t xml:space="preserve">Na mrežnoj stranici Ministarstva financija </w:t>
      </w:r>
      <w:hyperlink r:id="rId8" w:history="1">
        <w:r w:rsidR="0085456A" w:rsidRPr="00286520">
          <w:rPr>
            <w:rStyle w:val="Hyperlink"/>
            <w:rFonts w:asciiTheme="majorHAnsi" w:hAnsiTheme="majorHAnsi"/>
            <w:bCs/>
            <w:sz w:val="20"/>
            <w:szCs w:val="20"/>
          </w:rPr>
          <w:t>http://www.mfin.hr/hr/lokalna-samouprava</w:t>
        </w:r>
      </w:hyperlink>
      <w:r w:rsidR="0085456A">
        <w:rPr>
          <w:rFonts w:asciiTheme="majorHAnsi" w:hAnsiTheme="majorHAnsi"/>
          <w:bCs/>
          <w:sz w:val="20"/>
          <w:szCs w:val="20"/>
        </w:rPr>
        <w:t xml:space="preserve"> </w:t>
      </w:r>
      <w:r w:rsidR="00DD7B9B">
        <w:rPr>
          <w:rFonts w:asciiTheme="majorHAnsi" w:hAnsiTheme="majorHAnsi"/>
          <w:bCs/>
          <w:sz w:val="20"/>
          <w:szCs w:val="20"/>
        </w:rPr>
        <w:t xml:space="preserve"> </w:t>
      </w:r>
      <w:r w:rsidRPr="00A27936">
        <w:rPr>
          <w:rFonts w:asciiTheme="majorHAnsi" w:hAnsiTheme="majorHAnsi"/>
          <w:bCs/>
          <w:sz w:val="20"/>
          <w:szCs w:val="20"/>
        </w:rPr>
        <w:t>nalaze se:</w:t>
      </w:r>
    </w:p>
    <w:p w:rsidR="009E2F66" w:rsidRPr="00DD7B9B" w:rsidRDefault="009E2F66" w:rsidP="009E2F66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DD7B9B">
        <w:rPr>
          <w:rFonts w:asciiTheme="majorHAnsi" w:hAnsiTheme="majorHAnsi"/>
          <w:sz w:val="20"/>
          <w:szCs w:val="20"/>
        </w:rPr>
        <w:t xml:space="preserve">Upute </w:t>
      </w:r>
      <w:r w:rsidR="00DD7B9B" w:rsidRPr="00DD7B9B">
        <w:rPr>
          <w:rFonts w:asciiTheme="majorHAnsi" w:hAnsiTheme="majorHAnsi"/>
          <w:sz w:val="20"/>
          <w:szCs w:val="20"/>
        </w:rPr>
        <w:t>za izradu proračuna JLP(R)S za razdoblje 201</w:t>
      </w:r>
      <w:r w:rsidR="0085456A">
        <w:rPr>
          <w:rFonts w:asciiTheme="majorHAnsi" w:hAnsiTheme="majorHAnsi"/>
          <w:sz w:val="20"/>
          <w:szCs w:val="20"/>
        </w:rPr>
        <w:t>9</w:t>
      </w:r>
      <w:r w:rsidR="00DD7B9B" w:rsidRPr="00DD7B9B">
        <w:rPr>
          <w:rFonts w:asciiTheme="majorHAnsi" w:hAnsiTheme="majorHAnsi"/>
          <w:sz w:val="20"/>
          <w:szCs w:val="20"/>
        </w:rPr>
        <w:t>.-20</w:t>
      </w:r>
      <w:r w:rsidR="0085456A">
        <w:rPr>
          <w:rFonts w:asciiTheme="majorHAnsi" w:hAnsiTheme="majorHAnsi"/>
          <w:sz w:val="20"/>
          <w:szCs w:val="20"/>
        </w:rPr>
        <w:t>21</w:t>
      </w:r>
      <w:r w:rsidRPr="00DD7B9B">
        <w:rPr>
          <w:rFonts w:asciiTheme="majorHAnsi" w:hAnsiTheme="majorHAnsi"/>
          <w:sz w:val="20"/>
          <w:szCs w:val="20"/>
        </w:rPr>
        <w:t xml:space="preserve">.  </w:t>
      </w:r>
    </w:p>
    <w:p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A27936">
          <w:rPr>
            <w:rStyle w:val="Hyperlink"/>
            <w:rFonts w:asciiTheme="majorHAnsi" w:hAnsiTheme="majorHAnsi"/>
            <w:sz w:val="20"/>
            <w:szCs w:val="20"/>
          </w:rPr>
          <w:t>www.korcula.hr</w:t>
        </w:r>
      </w:hyperlink>
      <w:r w:rsidR="00811135" w:rsidRPr="00A27936">
        <w:rPr>
          <w:rFonts w:asciiTheme="majorHAnsi" w:hAnsiTheme="majorHAnsi"/>
          <w:sz w:val="20"/>
          <w:szCs w:val="20"/>
        </w:rPr>
        <w:t xml:space="preserve"> 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3A" w:rsidRDefault="00C2033A" w:rsidP="007058CD">
      <w:pPr>
        <w:spacing w:after="0" w:line="240" w:lineRule="auto"/>
      </w:pPr>
      <w:r>
        <w:separator/>
      </w:r>
    </w:p>
  </w:endnote>
  <w:endnote w:type="continuationSeparator" w:id="1">
    <w:p w:rsidR="00C2033A" w:rsidRDefault="00C2033A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9891"/>
      <w:docPartObj>
        <w:docPartGallery w:val="Page Numbers (Bottom of Page)"/>
        <w:docPartUnique/>
      </w:docPartObj>
    </w:sdtPr>
    <w:sdtContent>
      <w:p w:rsidR="008468D9" w:rsidRDefault="00253197">
        <w:pPr>
          <w:pStyle w:val="Footer"/>
          <w:jc w:val="right"/>
        </w:pPr>
        <w:fldSimple w:instr=" PAGE   \* MERGEFORMAT ">
          <w:r w:rsidR="003332E1">
            <w:rPr>
              <w:noProof/>
            </w:rPr>
            <w:t>4</w:t>
          </w:r>
        </w:fldSimple>
      </w:p>
    </w:sdtContent>
  </w:sdt>
  <w:p w:rsidR="008468D9" w:rsidRDefault="00846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3A" w:rsidRDefault="00C2033A" w:rsidP="007058CD">
      <w:pPr>
        <w:spacing w:after="0" w:line="240" w:lineRule="auto"/>
      </w:pPr>
      <w:r>
        <w:separator/>
      </w:r>
    </w:p>
  </w:footnote>
  <w:footnote w:type="continuationSeparator" w:id="1">
    <w:p w:rsidR="00C2033A" w:rsidRDefault="00C2033A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2"/>
  </w:num>
  <w:num w:numId="5">
    <w:abstractNumId w:val="18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20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79F"/>
    <w:rsid w:val="00005D83"/>
    <w:rsid w:val="00030760"/>
    <w:rsid w:val="000471C4"/>
    <w:rsid w:val="00054919"/>
    <w:rsid w:val="000629DC"/>
    <w:rsid w:val="000721F1"/>
    <w:rsid w:val="00073B06"/>
    <w:rsid w:val="00083CC3"/>
    <w:rsid w:val="000A4CC2"/>
    <w:rsid w:val="000D77A4"/>
    <w:rsid w:val="000E3757"/>
    <w:rsid w:val="000E7B72"/>
    <w:rsid w:val="000F4096"/>
    <w:rsid w:val="0010220C"/>
    <w:rsid w:val="00106BB4"/>
    <w:rsid w:val="00111930"/>
    <w:rsid w:val="00124A67"/>
    <w:rsid w:val="0014081D"/>
    <w:rsid w:val="00174F9F"/>
    <w:rsid w:val="00175FB9"/>
    <w:rsid w:val="00176A24"/>
    <w:rsid w:val="00187A73"/>
    <w:rsid w:val="001A3F60"/>
    <w:rsid w:val="001D4B8D"/>
    <w:rsid w:val="001E23CB"/>
    <w:rsid w:val="001E28A4"/>
    <w:rsid w:val="001E7FE6"/>
    <w:rsid w:val="001F0125"/>
    <w:rsid w:val="0020068E"/>
    <w:rsid w:val="00205639"/>
    <w:rsid w:val="00205A76"/>
    <w:rsid w:val="00216322"/>
    <w:rsid w:val="002373B9"/>
    <w:rsid w:val="00253197"/>
    <w:rsid w:val="002766B0"/>
    <w:rsid w:val="00284766"/>
    <w:rsid w:val="002B1A28"/>
    <w:rsid w:val="003130E9"/>
    <w:rsid w:val="0033145D"/>
    <w:rsid w:val="0033179F"/>
    <w:rsid w:val="003332E1"/>
    <w:rsid w:val="003334E2"/>
    <w:rsid w:val="00346ADE"/>
    <w:rsid w:val="00363671"/>
    <w:rsid w:val="003727FF"/>
    <w:rsid w:val="00383C3B"/>
    <w:rsid w:val="003B2782"/>
    <w:rsid w:val="003C0704"/>
    <w:rsid w:val="003D644B"/>
    <w:rsid w:val="004101A4"/>
    <w:rsid w:val="00421683"/>
    <w:rsid w:val="00421E0A"/>
    <w:rsid w:val="00434E78"/>
    <w:rsid w:val="00435EF1"/>
    <w:rsid w:val="004C0516"/>
    <w:rsid w:val="005169FB"/>
    <w:rsid w:val="005428BE"/>
    <w:rsid w:val="005439B4"/>
    <w:rsid w:val="00543F85"/>
    <w:rsid w:val="005A27FD"/>
    <w:rsid w:val="005A3428"/>
    <w:rsid w:val="005C2D84"/>
    <w:rsid w:val="0063371E"/>
    <w:rsid w:val="00641519"/>
    <w:rsid w:val="00671F61"/>
    <w:rsid w:val="006825D8"/>
    <w:rsid w:val="00682FFE"/>
    <w:rsid w:val="006871D4"/>
    <w:rsid w:val="006972FC"/>
    <w:rsid w:val="006B0C1C"/>
    <w:rsid w:val="006C0096"/>
    <w:rsid w:val="006E38CF"/>
    <w:rsid w:val="007058CD"/>
    <w:rsid w:val="007158F2"/>
    <w:rsid w:val="007164EA"/>
    <w:rsid w:val="007165F1"/>
    <w:rsid w:val="00716EB8"/>
    <w:rsid w:val="007269A7"/>
    <w:rsid w:val="00737CD3"/>
    <w:rsid w:val="007500E8"/>
    <w:rsid w:val="0077550B"/>
    <w:rsid w:val="007764D7"/>
    <w:rsid w:val="007A1F2C"/>
    <w:rsid w:val="007B6D2B"/>
    <w:rsid w:val="007F18E8"/>
    <w:rsid w:val="007F2ECC"/>
    <w:rsid w:val="00811135"/>
    <w:rsid w:val="008468D9"/>
    <w:rsid w:val="00851C50"/>
    <w:rsid w:val="0085456A"/>
    <w:rsid w:val="008659DD"/>
    <w:rsid w:val="00873BD5"/>
    <w:rsid w:val="008827A3"/>
    <w:rsid w:val="00887AA3"/>
    <w:rsid w:val="008B6825"/>
    <w:rsid w:val="008C38D0"/>
    <w:rsid w:val="008C7AF1"/>
    <w:rsid w:val="008E4816"/>
    <w:rsid w:val="008F40D2"/>
    <w:rsid w:val="008F655D"/>
    <w:rsid w:val="009046C1"/>
    <w:rsid w:val="0092561E"/>
    <w:rsid w:val="0093395A"/>
    <w:rsid w:val="0097151C"/>
    <w:rsid w:val="00976987"/>
    <w:rsid w:val="00977154"/>
    <w:rsid w:val="009803EB"/>
    <w:rsid w:val="009A338C"/>
    <w:rsid w:val="009D5C00"/>
    <w:rsid w:val="009D713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901DB"/>
    <w:rsid w:val="00A9424A"/>
    <w:rsid w:val="00AD1D2B"/>
    <w:rsid w:val="00B12D22"/>
    <w:rsid w:val="00B176C1"/>
    <w:rsid w:val="00B30865"/>
    <w:rsid w:val="00B5026E"/>
    <w:rsid w:val="00B623F5"/>
    <w:rsid w:val="00B674A7"/>
    <w:rsid w:val="00B716FF"/>
    <w:rsid w:val="00B83145"/>
    <w:rsid w:val="00B92742"/>
    <w:rsid w:val="00BB0CA1"/>
    <w:rsid w:val="00BB2D09"/>
    <w:rsid w:val="00BB618A"/>
    <w:rsid w:val="00BC7F45"/>
    <w:rsid w:val="00C2033A"/>
    <w:rsid w:val="00C42706"/>
    <w:rsid w:val="00C44628"/>
    <w:rsid w:val="00C51F61"/>
    <w:rsid w:val="00C54C8D"/>
    <w:rsid w:val="00C65C08"/>
    <w:rsid w:val="00C90A3E"/>
    <w:rsid w:val="00CB5A66"/>
    <w:rsid w:val="00CB5CD0"/>
    <w:rsid w:val="00D16DDF"/>
    <w:rsid w:val="00D30CD0"/>
    <w:rsid w:val="00D5378B"/>
    <w:rsid w:val="00D61F08"/>
    <w:rsid w:val="00DB399C"/>
    <w:rsid w:val="00DC23B9"/>
    <w:rsid w:val="00DD7B9B"/>
    <w:rsid w:val="00E047F0"/>
    <w:rsid w:val="00E74D6B"/>
    <w:rsid w:val="00E94ED9"/>
    <w:rsid w:val="00EC6637"/>
    <w:rsid w:val="00F0017E"/>
    <w:rsid w:val="00F04B02"/>
    <w:rsid w:val="00F15114"/>
    <w:rsid w:val="00F1649C"/>
    <w:rsid w:val="00F20B9A"/>
    <w:rsid w:val="00F364D9"/>
    <w:rsid w:val="00F46785"/>
    <w:rsid w:val="00F552E7"/>
    <w:rsid w:val="00F72B93"/>
    <w:rsid w:val="00FB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hr/hr/lokalna-samou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5ECB-DDF2-405F-9A55-125EA73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btomic</cp:lastModifiedBy>
  <cp:revision>49</cp:revision>
  <cp:lastPrinted>2018-09-21T11:30:00Z</cp:lastPrinted>
  <dcterms:created xsi:type="dcterms:W3CDTF">2015-09-10T10:57:00Z</dcterms:created>
  <dcterms:modified xsi:type="dcterms:W3CDTF">2018-09-24T11:20:00Z</dcterms:modified>
</cp:coreProperties>
</file>