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97" w:rsidRPr="00976D1A" w:rsidRDefault="00760997" w:rsidP="00760997">
      <w:pPr>
        <w:rPr>
          <w:rFonts w:ascii="Arial" w:hAnsi="Arial" w:cs="Arial"/>
          <w:b/>
          <w:i/>
          <w:u w:val="single"/>
        </w:rPr>
      </w:pPr>
      <w:r w:rsidRPr="00976D1A">
        <w:rPr>
          <w:rFonts w:ascii="Arial" w:hAnsi="Arial" w:cs="Arial"/>
          <w:b/>
          <w:i/>
          <w:u w:val="single"/>
        </w:rPr>
        <w:t>Obrazloženje ostvarenja prihoda i primitaka, rashoda i izdataka</w:t>
      </w:r>
    </w:p>
    <w:p w:rsidR="00760997" w:rsidRDefault="003F6EE6" w:rsidP="00760997">
      <w:r w:rsidRPr="003F6EE6">
        <w:rPr>
          <w:noProof/>
          <w:lang w:eastAsia="hr-HR"/>
        </w:rPr>
        <w:drawing>
          <wp:inline distT="0" distB="0" distL="0" distR="0">
            <wp:extent cx="6421507" cy="3538330"/>
            <wp:effectExtent l="1905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0997" w:rsidRPr="00897FBB" w:rsidRDefault="00760997" w:rsidP="00760997">
      <w:pPr>
        <w:rPr>
          <w:rFonts w:ascii="Arial" w:hAnsi="Arial" w:cs="Arial"/>
          <w:sz w:val="16"/>
          <w:szCs w:val="16"/>
        </w:rPr>
      </w:pPr>
    </w:p>
    <w:p w:rsidR="00760997" w:rsidRPr="00381319" w:rsidRDefault="00760997" w:rsidP="00760997">
      <w:pPr>
        <w:rPr>
          <w:rFonts w:ascii="Arial" w:hAnsi="Arial" w:cs="Arial"/>
          <w:sz w:val="20"/>
          <w:szCs w:val="20"/>
        </w:rPr>
      </w:pPr>
      <w:r w:rsidRPr="00381319">
        <w:rPr>
          <w:rFonts w:ascii="Arial" w:hAnsi="Arial" w:cs="Arial"/>
          <w:b/>
          <w:i/>
          <w:sz w:val="20"/>
          <w:szCs w:val="20"/>
          <w:u w:val="single"/>
        </w:rPr>
        <w:t>O prihodima i primicima</w:t>
      </w:r>
      <w:r w:rsidRPr="00381319">
        <w:rPr>
          <w:rFonts w:ascii="Arial" w:hAnsi="Arial" w:cs="Arial"/>
          <w:b/>
          <w:sz w:val="20"/>
          <w:szCs w:val="20"/>
        </w:rPr>
        <w:t>:</w:t>
      </w:r>
      <w:r w:rsidRPr="00381319">
        <w:rPr>
          <w:rFonts w:ascii="Arial" w:hAnsi="Arial" w:cs="Arial"/>
          <w:sz w:val="20"/>
          <w:szCs w:val="20"/>
        </w:rPr>
        <w:t xml:space="preserve"> </w:t>
      </w:r>
    </w:p>
    <w:p w:rsidR="00760997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2E1181">
        <w:rPr>
          <w:rFonts w:ascii="Arial" w:hAnsi="Arial" w:cs="Arial"/>
          <w:sz w:val="16"/>
          <w:szCs w:val="16"/>
        </w:rPr>
        <w:t>U ovom</w:t>
      </w:r>
      <w:r>
        <w:rPr>
          <w:rFonts w:ascii="Arial" w:hAnsi="Arial" w:cs="Arial"/>
          <w:sz w:val="16"/>
          <w:szCs w:val="16"/>
        </w:rPr>
        <w:t xml:space="preserve"> </w:t>
      </w:r>
      <w:r w:rsidR="00036AC9">
        <w:rPr>
          <w:rFonts w:ascii="Arial" w:hAnsi="Arial" w:cs="Arial"/>
          <w:sz w:val="16"/>
          <w:szCs w:val="16"/>
        </w:rPr>
        <w:t xml:space="preserve">izvještajnom </w:t>
      </w:r>
      <w:r w:rsidRPr="00E363AE">
        <w:rPr>
          <w:rFonts w:ascii="Arial" w:hAnsi="Arial" w:cs="Arial"/>
          <w:sz w:val="16"/>
          <w:szCs w:val="16"/>
        </w:rPr>
        <w:t xml:space="preserve"> razdoblju ostvareni su tekući prihodi</w:t>
      </w:r>
      <w:r w:rsidR="003F6EE6">
        <w:rPr>
          <w:rFonts w:ascii="Arial" w:hAnsi="Arial" w:cs="Arial"/>
          <w:sz w:val="16"/>
          <w:szCs w:val="16"/>
        </w:rPr>
        <w:t xml:space="preserve"> Proračuna Grada Korčule za 2019</w:t>
      </w:r>
      <w:r w:rsidRPr="00E363AE">
        <w:rPr>
          <w:rFonts w:ascii="Arial" w:hAnsi="Arial" w:cs="Arial"/>
          <w:sz w:val="16"/>
          <w:szCs w:val="16"/>
        </w:rPr>
        <w:t xml:space="preserve">. godinu (dalje u tekstu: Proračun) u iznosu od  </w:t>
      </w:r>
      <w:r w:rsidR="00A10159">
        <w:rPr>
          <w:rFonts w:ascii="Arial" w:hAnsi="Arial" w:cs="Arial"/>
          <w:sz w:val="16"/>
          <w:szCs w:val="16"/>
        </w:rPr>
        <w:t>15.872.766</w:t>
      </w:r>
      <w:r w:rsidR="00F32D8B">
        <w:rPr>
          <w:rFonts w:ascii="Arial" w:hAnsi="Arial" w:cs="Arial"/>
          <w:sz w:val="16"/>
          <w:szCs w:val="16"/>
        </w:rPr>
        <w:t xml:space="preserve"> kn</w:t>
      </w:r>
      <w:r w:rsidR="002E1181">
        <w:rPr>
          <w:rFonts w:ascii="Arial" w:hAnsi="Arial" w:cs="Arial"/>
          <w:sz w:val="16"/>
          <w:szCs w:val="16"/>
        </w:rPr>
        <w:t xml:space="preserve">  ili  25%  u odnosu na  plan a 37</w:t>
      </w:r>
      <w:r w:rsidRPr="00E363AE">
        <w:rPr>
          <w:rFonts w:ascii="Arial" w:hAnsi="Arial" w:cs="Arial"/>
          <w:sz w:val="16"/>
          <w:szCs w:val="16"/>
        </w:rPr>
        <w:t>%  više  nego u istom razdoblju 201</w:t>
      </w:r>
      <w:r w:rsidR="002E1181">
        <w:rPr>
          <w:rFonts w:ascii="Arial" w:hAnsi="Arial" w:cs="Arial"/>
          <w:sz w:val="16"/>
          <w:szCs w:val="16"/>
        </w:rPr>
        <w:t>8</w:t>
      </w:r>
      <w:r w:rsidRPr="00E363AE">
        <w:rPr>
          <w:rFonts w:ascii="Arial" w:hAnsi="Arial" w:cs="Arial"/>
          <w:sz w:val="16"/>
          <w:szCs w:val="16"/>
        </w:rPr>
        <w:t>. godine</w:t>
      </w:r>
      <w:r w:rsidRPr="005F4DBA">
        <w:rPr>
          <w:rFonts w:ascii="Arial" w:hAnsi="Arial" w:cs="Arial"/>
          <w:sz w:val="16"/>
          <w:szCs w:val="16"/>
        </w:rPr>
        <w:t>. Ukoliko</w:t>
      </w:r>
      <w:r w:rsidRPr="003469C2">
        <w:rPr>
          <w:rFonts w:ascii="Arial" w:hAnsi="Arial" w:cs="Arial"/>
          <w:sz w:val="16"/>
          <w:szCs w:val="16"/>
        </w:rPr>
        <w:t xml:space="preserve"> iz razmatranja izuzmemo ukup</w:t>
      </w:r>
      <w:r>
        <w:rPr>
          <w:rFonts w:ascii="Arial" w:hAnsi="Arial" w:cs="Arial"/>
          <w:sz w:val="16"/>
          <w:szCs w:val="16"/>
        </w:rPr>
        <w:t>ne prihode korisnika Proračuna,</w:t>
      </w:r>
      <w:r w:rsidRPr="003469C2">
        <w:rPr>
          <w:rFonts w:ascii="Arial" w:hAnsi="Arial" w:cs="Arial"/>
          <w:sz w:val="16"/>
          <w:szCs w:val="16"/>
        </w:rPr>
        <w:t xml:space="preserve"> ostvareni su prihodi Proračuna  od </w:t>
      </w:r>
      <w:r w:rsidR="00A10159">
        <w:rPr>
          <w:rFonts w:ascii="Arial" w:hAnsi="Arial" w:cs="Arial"/>
          <w:sz w:val="16"/>
          <w:szCs w:val="16"/>
        </w:rPr>
        <w:t>14.988.480</w:t>
      </w:r>
      <w:r w:rsidRPr="003469C2">
        <w:rPr>
          <w:rFonts w:ascii="Arial" w:hAnsi="Arial" w:cs="Arial"/>
          <w:sz w:val="16"/>
          <w:szCs w:val="16"/>
        </w:rPr>
        <w:t xml:space="preserve"> kn</w:t>
      </w:r>
      <w:r w:rsidRPr="004C6B5A"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ili</w:t>
      </w:r>
      <w:r w:rsidRPr="003104EC">
        <w:rPr>
          <w:rFonts w:ascii="Arial" w:hAnsi="Arial" w:cs="Arial"/>
          <w:color w:val="FF0000"/>
          <w:sz w:val="16"/>
          <w:szCs w:val="16"/>
        </w:rPr>
        <w:t xml:space="preserve"> </w:t>
      </w:r>
      <w:r w:rsidRPr="00F84876">
        <w:rPr>
          <w:rFonts w:ascii="Arial" w:hAnsi="Arial" w:cs="Arial"/>
          <w:sz w:val="16"/>
          <w:szCs w:val="16"/>
        </w:rPr>
        <w:t>2</w:t>
      </w:r>
      <w:r w:rsidR="001460CC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%</w:t>
      </w:r>
      <w:r w:rsidRPr="008E667E">
        <w:rPr>
          <w:rFonts w:ascii="Arial" w:hAnsi="Arial" w:cs="Arial"/>
          <w:sz w:val="16"/>
          <w:szCs w:val="16"/>
        </w:rPr>
        <w:t xml:space="preserve"> od planiranog a</w:t>
      </w:r>
      <w:r>
        <w:rPr>
          <w:rFonts w:ascii="Arial" w:hAnsi="Arial" w:cs="Arial"/>
          <w:sz w:val="16"/>
          <w:szCs w:val="16"/>
        </w:rPr>
        <w:t xml:space="preserve"> ukoliko izuzmemo  još i pomoći</w:t>
      </w:r>
      <w:r w:rsidRPr="008E667E">
        <w:rPr>
          <w:rFonts w:ascii="Arial" w:hAnsi="Arial" w:cs="Arial"/>
          <w:sz w:val="16"/>
          <w:szCs w:val="16"/>
        </w:rPr>
        <w:t xml:space="preserve"> (skupina 63), prihodi su ostvareni</w:t>
      </w:r>
      <w:r>
        <w:rPr>
          <w:rFonts w:ascii="Arial" w:hAnsi="Arial" w:cs="Arial"/>
          <w:sz w:val="16"/>
          <w:szCs w:val="16"/>
        </w:rPr>
        <w:t xml:space="preserve"> u iznosu od </w:t>
      </w:r>
      <w:r w:rsidR="00A10159">
        <w:rPr>
          <w:rFonts w:ascii="Arial" w:hAnsi="Arial" w:cs="Arial"/>
          <w:sz w:val="16"/>
          <w:szCs w:val="16"/>
        </w:rPr>
        <w:t>10.93</w:t>
      </w:r>
      <w:r w:rsidR="0095024E">
        <w:rPr>
          <w:rFonts w:ascii="Arial" w:hAnsi="Arial" w:cs="Arial"/>
          <w:sz w:val="16"/>
          <w:szCs w:val="16"/>
        </w:rPr>
        <w:t>2.736</w:t>
      </w:r>
      <w:r w:rsidR="001460CC">
        <w:rPr>
          <w:rFonts w:ascii="Arial" w:hAnsi="Arial" w:cs="Arial"/>
          <w:sz w:val="16"/>
          <w:szCs w:val="16"/>
        </w:rPr>
        <w:t xml:space="preserve"> kn</w:t>
      </w:r>
      <w:r w:rsidR="00F06AD4">
        <w:rPr>
          <w:rFonts w:ascii="Arial" w:hAnsi="Arial" w:cs="Arial"/>
          <w:sz w:val="16"/>
          <w:szCs w:val="16"/>
        </w:rPr>
        <w:t xml:space="preserve"> ili 36</w:t>
      </w:r>
      <w:r>
        <w:rPr>
          <w:rFonts w:ascii="Arial" w:hAnsi="Arial" w:cs="Arial"/>
          <w:sz w:val="16"/>
          <w:szCs w:val="16"/>
        </w:rPr>
        <w:t>% u odnosu na plan.</w:t>
      </w:r>
    </w:p>
    <w:p w:rsidR="00760997" w:rsidRPr="00381319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  <w:u w:val="single"/>
        </w:rPr>
        <w:t>Prihodi poslovanja</w:t>
      </w:r>
      <w:r w:rsidRPr="00BE20A2">
        <w:rPr>
          <w:rFonts w:ascii="Arial" w:hAnsi="Arial" w:cs="Arial"/>
          <w:b/>
          <w:sz w:val="16"/>
          <w:szCs w:val="16"/>
        </w:rPr>
        <w:t xml:space="preserve">  (razred 6</w:t>
      </w:r>
      <w:r w:rsidRPr="00BE20A2">
        <w:rPr>
          <w:rFonts w:ascii="Arial" w:hAnsi="Arial" w:cs="Arial"/>
          <w:sz w:val="16"/>
          <w:szCs w:val="16"/>
        </w:rPr>
        <w:t xml:space="preserve">) ostvareni su u iznosu od </w:t>
      </w:r>
      <w:r w:rsidR="0095024E">
        <w:rPr>
          <w:rFonts w:ascii="Arial" w:hAnsi="Arial" w:cs="Arial"/>
          <w:sz w:val="16"/>
          <w:szCs w:val="16"/>
        </w:rPr>
        <w:t>14.302.181</w:t>
      </w:r>
      <w:r w:rsidR="00F06AD4">
        <w:rPr>
          <w:rFonts w:ascii="Arial" w:hAnsi="Arial" w:cs="Arial"/>
          <w:sz w:val="16"/>
          <w:szCs w:val="16"/>
        </w:rPr>
        <w:t>kn</w:t>
      </w:r>
      <w:r w:rsidRPr="00BE20A2">
        <w:rPr>
          <w:rFonts w:ascii="Arial" w:hAnsi="Arial" w:cs="Arial"/>
          <w:sz w:val="16"/>
          <w:szCs w:val="16"/>
        </w:rPr>
        <w:t xml:space="preserve"> ili 2</w:t>
      </w:r>
      <w:r w:rsidR="00F06AD4">
        <w:rPr>
          <w:rFonts w:ascii="Arial" w:hAnsi="Arial" w:cs="Arial"/>
          <w:sz w:val="16"/>
          <w:szCs w:val="16"/>
        </w:rPr>
        <w:t>4</w:t>
      </w:r>
      <w:r w:rsidRPr="00BE20A2">
        <w:rPr>
          <w:rFonts w:ascii="Arial" w:hAnsi="Arial" w:cs="Arial"/>
          <w:sz w:val="16"/>
          <w:szCs w:val="16"/>
        </w:rPr>
        <w:t xml:space="preserve">% od </w:t>
      </w:r>
      <w:r w:rsidRPr="00AD1511">
        <w:rPr>
          <w:rFonts w:ascii="Arial" w:hAnsi="Arial" w:cs="Arial"/>
          <w:sz w:val="16"/>
          <w:szCs w:val="16"/>
        </w:rPr>
        <w:t>planiranog. U odnosu na isto razdoblje 201</w:t>
      </w:r>
      <w:r w:rsidR="00F06AD4" w:rsidRPr="00AD1511">
        <w:rPr>
          <w:rFonts w:ascii="Arial" w:hAnsi="Arial" w:cs="Arial"/>
          <w:sz w:val="16"/>
          <w:szCs w:val="16"/>
        </w:rPr>
        <w:t>8</w:t>
      </w:r>
      <w:r w:rsidRPr="00AD1511">
        <w:rPr>
          <w:rFonts w:ascii="Arial" w:hAnsi="Arial" w:cs="Arial"/>
          <w:sz w:val="16"/>
          <w:szCs w:val="16"/>
        </w:rPr>
        <w:t>.godine ovi prihodi su 2</w:t>
      </w:r>
      <w:r w:rsidR="00F06AD4" w:rsidRPr="00AD1511">
        <w:rPr>
          <w:rFonts w:ascii="Arial" w:hAnsi="Arial" w:cs="Arial"/>
          <w:sz w:val="16"/>
          <w:szCs w:val="16"/>
        </w:rPr>
        <w:t>4</w:t>
      </w:r>
      <w:r w:rsidRPr="00AD1511">
        <w:rPr>
          <w:rFonts w:ascii="Arial" w:hAnsi="Arial" w:cs="Arial"/>
          <w:sz w:val="16"/>
          <w:szCs w:val="16"/>
        </w:rPr>
        <w:t>% veći. Ukoliko iz razmatranja izuzmemo prihode korisnika Proračuna ostvarenje je 1</w:t>
      </w:r>
      <w:r w:rsidR="00AD1511">
        <w:rPr>
          <w:rFonts w:ascii="Arial" w:hAnsi="Arial" w:cs="Arial"/>
          <w:sz w:val="16"/>
          <w:szCs w:val="16"/>
        </w:rPr>
        <w:t>3.417.895</w:t>
      </w:r>
      <w:r w:rsidR="00F06AD4" w:rsidRPr="00AD1511">
        <w:rPr>
          <w:rFonts w:ascii="Arial" w:hAnsi="Arial" w:cs="Arial"/>
          <w:sz w:val="16"/>
          <w:szCs w:val="16"/>
        </w:rPr>
        <w:t xml:space="preserve"> kn</w:t>
      </w:r>
      <w:r w:rsidRPr="00AD1511">
        <w:rPr>
          <w:rFonts w:ascii="Arial" w:hAnsi="Arial" w:cs="Arial"/>
          <w:sz w:val="16"/>
          <w:szCs w:val="16"/>
        </w:rPr>
        <w:t xml:space="preserve"> ili 23% od planiranih</w:t>
      </w:r>
      <w:r w:rsidRPr="00AD1511">
        <w:rPr>
          <w:rFonts w:ascii="Arial" w:hAnsi="Arial" w:cs="Arial"/>
          <w:color w:val="FF0000"/>
          <w:sz w:val="16"/>
          <w:szCs w:val="16"/>
        </w:rPr>
        <w:t>.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F06AD4">
        <w:rPr>
          <w:rFonts w:ascii="Arial" w:hAnsi="Arial" w:cs="Arial"/>
          <w:b/>
          <w:sz w:val="16"/>
          <w:szCs w:val="16"/>
        </w:rPr>
        <w:t>Prihodi od poreza (skupina</w:t>
      </w:r>
      <w:r w:rsidRPr="00BE20A2">
        <w:rPr>
          <w:rFonts w:ascii="Arial" w:hAnsi="Arial" w:cs="Arial"/>
          <w:b/>
          <w:sz w:val="16"/>
          <w:szCs w:val="16"/>
        </w:rPr>
        <w:t xml:space="preserve"> 61</w:t>
      </w:r>
      <w:r w:rsidRPr="00BE20A2">
        <w:rPr>
          <w:rFonts w:ascii="Arial" w:hAnsi="Arial" w:cs="Arial"/>
          <w:sz w:val="16"/>
          <w:szCs w:val="16"/>
        </w:rPr>
        <w:t xml:space="preserve">) ostvareni su u iznosu od </w:t>
      </w:r>
      <w:r w:rsidRPr="004A2232">
        <w:rPr>
          <w:rFonts w:ascii="Arial" w:hAnsi="Arial" w:cs="Arial"/>
          <w:sz w:val="16"/>
          <w:szCs w:val="16"/>
        </w:rPr>
        <w:t>6.</w:t>
      </w:r>
      <w:r w:rsidR="004A2232" w:rsidRPr="004A2232">
        <w:rPr>
          <w:rFonts w:ascii="Arial" w:hAnsi="Arial" w:cs="Arial"/>
          <w:sz w:val="16"/>
          <w:szCs w:val="16"/>
        </w:rPr>
        <w:t>587.737</w:t>
      </w:r>
      <w:r w:rsidR="004A2232">
        <w:rPr>
          <w:rFonts w:ascii="Arial" w:hAnsi="Arial" w:cs="Arial"/>
          <w:sz w:val="16"/>
          <w:szCs w:val="16"/>
        </w:rPr>
        <w:t xml:space="preserve"> kn</w:t>
      </w:r>
      <w:r w:rsidRPr="00BE20A2">
        <w:rPr>
          <w:rFonts w:ascii="Arial" w:hAnsi="Arial" w:cs="Arial"/>
          <w:sz w:val="16"/>
          <w:szCs w:val="16"/>
        </w:rPr>
        <w:t xml:space="preserve"> odnosno </w:t>
      </w:r>
      <w:r w:rsidR="004A2232">
        <w:rPr>
          <w:rFonts w:ascii="Arial" w:hAnsi="Arial" w:cs="Arial"/>
          <w:sz w:val="16"/>
          <w:szCs w:val="16"/>
        </w:rPr>
        <w:t>9</w:t>
      </w:r>
      <w:r w:rsidRPr="00BE20A2">
        <w:rPr>
          <w:rFonts w:ascii="Arial" w:hAnsi="Arial" w:cs="Arial"/>
          <w:sz w:val="16"/>
          <w:szCs w:val="16"/>
        </w:rPr>
        <w:t>% više nego u istom razdoblju prethodne godine a 48% u odnosu na plan.</w:t>
      </w:r>
    </w:p>
    <w:p w:rsidR="00760997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</w:rPr>
        <w:t xml:space="preserve">Gradski porezi (dio skupine 61 </w:t>
      </w:r>
      <w:r w:rsidRPr="00BE20A2">
        <w:rPr>
          <w:rFonts w:ascii="Arial" w:hAnsi="Arial" w:cs="Arial"/>
          <w:sz w:val="16"/>
          <w:szCs w:val="16"/>
        </w:rPr>
        <w:t>- porez na kuću za odmor, porez na potrošnju</w:t>
      </w:r>
      <w:r w:rsidR="001C34C5">
        <w:rPr>
          <w:rFonts w:ascii="Arial" w:hAnsi="Arial" w:cs="Arial"/>
          <w:sz w:val="16"/>
          <w:szCs w:val="16"/>
        </w:rPr>
        <w:t>, porez na promet nekretnina</w:t>
      </w:r>
      <w:r w:rsidRPr="00BE20A2">
        <w:rPr>
          <w:rFonts w:ascii="Arial" w:hAnsi="Arial" w:cs="Arial"/>
          <w:sz w:val="16"/>
          <w:szCs w:val="16"/>
        </w:rPr>
        <w:t xml:space="preserve"> i porez na tvrtku</w:t>
      </w:r>
      <w:r w:rsidR="009101EE">
        <w:rPr>
          <w:rFonts w:ascii="Arial" w:hAnsi="Arial" w:cs="Arial"/>
          <w:sz w:val="16"/>
          <w:szCs w:val="16"/>
        </w:rPr>
        <w:t>-uki</w:t>
      </w:r>
      <w:r w:rsidR="001C34C5">
        <w:rPr>
          <w:rFonts w:ascii="Arial" w:hAnsi="Arial" w:cs="Arial"/>
          <w:sz w:val="16"/>
          <w:szCs w:val="16"/>
        </w:rPr>
        <w:t>nut</w:t>
      </w:r>
      <w:r w:rsidRPr="00BE20A2">
        <w:rPr>
          <w:rFonts w:ascii="Arial" w:hAnsi="Arial" w:cs="Arial"/>
          <w:sz w:val="16"/>
          <w:szCs w:val="16"/>
        </w:rPr>
        <w:t xml:space="preserve">) su naplaćeni u iznosu od </w:t>
      </w:r>
      <w:r w:rsidR="006A7B40">
        <w:rPr>
          <w:rFonts w:ascii="Arial" w:hAnsi="Arial" w:cs="Arial"/>
          <w:sz w:val="16"/>
          <w:szCs w:val="16"/>
        </w:rPr>
        <w:t>1.404.260 kn ili 6% više</w:t>
      </w:r>
      <w:r w:rsidRPr="00BE20A2">
        <w:rPr>
          <w:rFonts w:ascii="Arial" w:hAnsi="Arial" w:cs="Arial"/>
          <w:sz w:val="16"/>
          <w:szCs w:val="16"/>
        </w:rPr>
        <w:t xml:space="preserve"> nego u istom razdoblju prethodne godine.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9101EE">
        <w:rPr>
          <w:rFonts w:ascii="Arial" w:hAnsi="Arial" w:cs="Arial"/>
          <w:b/>
          <w:sz w:val="16"/>
          <w:szCs w:val="16"/>
        </w:rPr>
        <w:t>Pomoći iz</w:t>
      </w:r>
      <w:r w:rsidRPr="00671E56">
        <w:rPr>
          <w:rFonts w:ascii="Arial" w:hAnsi="Arial" w:cs="Arial"/>
          <w:b/>
          <w:sz w:val="16"/>
          <w:szCs w:val="16"/>
        </w:rPr>
        <w:t xml:space="preserve"> inozemstva i od </w:t>
      </w:r>
      <w:r w:rsidRPr="00671E56">
        <w:rPr>
          <w:rFonts w:ascii="Arial" w:hAnsi="Arial" w:cs="Arial"/>
          <w:b/>
          <w:color w:val="000000"/>
          <w:sz w:val="16"/>
          <w:szCs w:val="16"/>
        </w:rPr>
        <w:t>subjekata</w:t>
      </w:r>
      <w:r w:rsidRPr="00BE20A2">
        <w:rPr>
          <w:rFonts w:ascii="Arial" w:hAnsi="Arial" w:cs="Arial"/>
          <w:b/>
          <w:color w:val="000000"/>
          <w:sz w:val="16"/>
          <w:szCs w:val="16"/>
        </w:rPr>
        <w:t xml:space="preserve"> unutar općeg proračuna (skupina 63</w:t>
      </w:r>
      <w:r w:rsidRPr="00BE20A2">
        <w:rPr>
          <w:rFonts w:ascii="Arial" w:hAnsi="Arial" w:cs="Arial"/>
          <w:sz w:val="16"/>
          <w:szCs w:val="16"/>
        </w:rPr>
        <w:t xml:space="preserve">) su ostvarene u iznosu od </w:t>
      </w:r>
      <w:r w:rsidR="004A2232">
        <w:rPr>
          <w:rFonts w:ascii="Arial" w:hAnsi="Arial" w:cs="Arial"/>
          <w:sz w:val="16"/>
          <w:szCs w:val="16"/>
        </w:rPr>
        <w:t>4.055.744</w:t>
      </w:r>
      <w:r w:rsidRPr="00BE20A2">
        <w:rPr>
          <w:rFonts w:ascii="Arial" w:hAnsi="Arial" w:cs="Arial"/>
          <w:sz w:val="16"/>
          <w:szCs w:val="16"/>
        </w:rPr>
        <w:t xml:space="preserve"> </w:t>
      </w:r>
      <w:r w:rsidR="004A2232">
        <w:rPr>
          <w:rFonts w:ascii="Arial" w:hAnsi="Arial" w:cs="Arial"/>
          <w:sz w:val="16"/>
          <w:szCs w:val="16"/>
        </w:rPr>
        <w:t xml:space="preserve">kn </w:t>
      </w:r>
      <w:r w:rsidRPr="00BE20A2">
        <w:rPr>
          <w:rFonts w:ascii="Arial" w:hAnsi="Arial" w:cs="Arial"/>
          <w:sz w:val="16"/>
          <w:szCs w:val="16"/>
        </w:rPr>
        <w:t xml:space="preserve">ili  </w:t>
      </w:r>
      <w:r w:rsidR="004A2232">
        <w:rPr>
          <w:rFonts w:ascii="Arial" w:hAnsi="Arial" w:cs="Arial"/>
          <w:sz w:val="16"/>
          <w:szCs w:val="16"/>
        </w:rPr>
        <w:t>161</w:t>
      </w:r>
      <w:r w:rsidRPr="00BE20A2">
        <w:rPr>
          <w:rFonts w:ascii="Arial" w:hAnsi="Arial" w:cs="Arial"/>
          <w:sz w:val="16"/>
          <w:szCs w:val="16"/>
        </w:rPr>
        <w:t xml:space="preserve">% </w:t>
      </w:r>
      <w:r w:rsidR="004A2232">
        <w:rPr>
          <w:rFonts w:ascii="Arial" w:hAnsi="Arial" w:cs="Arial"/>
          <w:sz w:val="16"/>
          <w:szCs w:val="16"/>
        </w:rPr>
        <w:t>više</w:t>
      </w:r>
      <w:r w:rsidRPr="00BE20A2">
        <w:rPr>
          <w:rFonts w:ascii="Arial" w:hAnsi="Arial" w:cs="Arial"/>
          <w:sz w:val="16"/>
          <w:szCs w:val="16"/>
        </w:rPr>
        <w:t xml:space="preserve"> nego prošle godine a </w:t>
      </w:r>
      <w:r w:rsidR="004A2232">
        <w:rPr>
          <w:rFonts w:ascii="Arial" w:hAnsi="Arial" w:cs="Arial"/>
          <w:sz w:val="16"/>
          <w:szCs w:val="16"/>
        </w:rPr>
        <w:t>13</w:t>
      </w:r>
      <w:r w:rsidRPr="00BE20A2">
        <w:rPr>
          <w:rFonts w:ascii="Arial" w:hAnsi="Arial" w:cs="Arial"/>
          <w:sz w:val="16"/>
          <w:szCs w:val="16"/>
        </w:rPr>
        <w:t xml:space="preserve">% od plana. </w:t>
      </w:r>
      <w:r w:rsidR="009555AD">
        <w:rPr>
          <w:rFonts w:ascii="Arial" w:hAnsi="Arial" w:cs="Arial"/>
          <w:sz w:val="16"/>
          <w:szCs w:val="16"/>
        </w:rPr>
        <w:t>O</w:t>
      </w:r>
      <w:r w:rsidRPr="00BE20A2">
        <w:rPr>
          <w:rFonts w:ascii="Arial" w:hAnsi="Arial" w:cs="Arial"/>
          <w:sz w:val="16"/>
          <w:szCs w:val="16"/>
        </w:rPr>
        <w:t xml:space="preserve">dnose se na </w:t>
      </w:r>
      <w:r w:rsidR="009555AD">
        <w:rPr>
          <w:rFonts w:ascii="Arial" w:hAnsi="Arial" w:cs="Arial"/>
          <w:sz w:val="16"/>
          <w:szCs w:val="16"/>
        </w:rPr>
        <w:t>kapitalne po</w:t>
      </w:r>
      <w:r w:rsidR="00D15F0F">
        <w:rPr>
          <w:rFonts w:ascii="Arial" w:hAnsi="Arial" w:cs="Arial"/>
          <w:sz w:val="16"/>
          <w:szCs w:val="16"/>
        </w:rPr>
        <w:t>moći iz Agencije APPRRR u iznosu</w:t>
      </w:r>
      <w:r w:rsidR="009555AD">
        <w:rPr>
          <w:rFonts w:ascii="Arial" w:hAnsi="Arial" w:cs="Arial"/>
          <w:sz w:val="16"/>
          <w:szCs w:val="16"/>
        </w:rPr>
        <w:t xml:space="preserve"> od 3.138.366 kn za uređenje šetališta T.Ujevića, </w:t>
      </w:r>
      <w:r w:rsidR="002E020F">
        <w:rPr>
          <w:rFonts w:ascii="Arial" w:hAnsi="Arial" w:cs="Arial"/>
          <w:sz w:val="16"/>
          <w:szCs w:val="16"/>
        </w:rPr>
        <w:t xml:space="preserve">kapitalne pomoći DNŽ za upravljanje pomorskim dobrom od 200.000 kn, </w:t>
      </w:r>
      <w:r w:rsidR="009555AD">
        <w:rPr>
          <w:rFonts w:ascii="Arial" w:hAnsi="Arial" w:cs="Arial"/>
          <w:sz w:val="16"/>
          <w:szCs w:val="16"/>
        </w:rPr>
        <w:t xml:space="preserve">kapitalne pomoći iz Ministarstva za demografiju, obitelj, mlade i soc.politiku u iznosu </w:t>
      </w:r>
      <w:r w:rsidR="002E020F">
        <w:rPr>
          <w:rFonts w:ascii="Arial" w:hAnsi="Arial" w:cs="Arial"/>
          <w:sz w:val="16"/>
          <w:szCs w:val="16"/>
        </w:rPr>
        <w:t xml:space="preserve">od 180.470 kn za obnovu dječjeg </w:t>
      </w:r>
      <w:r w:rsidR="009555AD">
        <w:rPr>
          <w:rFonts w:ascii="Arial" w:hAnsi="Arial" w:cs="Arial"/>
          <w:sz w:val="16"/>
          <w:szCs w:val="16"/>
        </w:rPr>
        <w:t>vrtića Korčula</w:t>
      </w:r>
      <w:r w:rsidR="002E020F">
        <w:rPr>
          <w:rFonts w:ascii="Arial" w:hAnsi="Arial" w:cs="Arial"/>
          <w:sz w:val="16"/>
          <w:szCs w:val="16"/>
        </w:rPr>
        <w:t xml:space="preserve">, </w:t>
      </w:r>
      <w:r w:rsidR="009101EE">
        <w:rPr>
          <w:rFonts w:ascii="Arial" w:hAnsi="Arial" w:cs="Arial"/>
          <w:sz w:val="16"/>
          <w:szCs w:val="16"/>
        </w:rPr>
        <w:t xml:space="preserve">tekuće pomoći EU sredstava od 173.992 kn temeljem zahtjeva za nadoknadom sredstava projekta Južni zid, </w:t>
      </w:r>
      <w:r w:rsidR="002E020F">
        <w:rPr>
          <w:rFonts w:ascii="Arial" w:hAnsi="Arial" w:cs="Arial"/>
          <w:sz w:val="16"/>
          <w:szCs w:val="16"/>
        </w:rPr>
        <w:t xml:space="preserve">tekuće pomoći DNŽ </w:t>
      </w:r>
      <w:r w:rsidR="004D336E">
        <w:rPr>
          <w:rFonts w:ascii="Arial" w:hAnsi="Arial" w:cs="Arial"/>
          <w:sz w:val="16"/>
          <w:szCs w:val="16"/>
        </w:rPr>
        <w:t xml:space="preserve">od 172.267 kn i to </w:t>
      </w:r>
      <w:r w:rsidR="002E020F">
        <w:rPr>
          <w:rFonts w:ascii="Arial" w:hAnsi="Arial" w:cs="Arial"/>
          <w:sz w:val="16"/>
          <w:szCs w:val="16"/>
        </w:rPr>
        <w:t>za čiščenje morskog otpada 62.800 kn i za Iz</w:t>
      </w:r>
      <w:r w:rsidR="009101EE">
        <w:rPr>
          <w:rFonts w:ascii="Arial" w:hAnsi="Arial" w:cs="Arial"/>
          <w:sz w:val="16"/>
          <w:szCs w:val="16"/>
        </w:rPr>
        <w:t>bore EU u iznosu od 109.467 kn,</w:t>
      </w:r>
      <w:r w:rsidR="004D336E">
        <w:rPr>
          <w:rFonts w:ascii="Arial" w:hAnsi="Arial" w:cs="Arial"/>
          <w:sz w:val="16"/>
          <w:szCs w:val="16"/>
        </w:rPr>
        <w:t xml:space="preserve"> </w:t>
      </w:r>
      <w:r w:rsidR="002E020F">
        <w:rPr>
          <w:rFonts w:ascii="Arial" w:hAnsi="Arial" w:cs="Arial"/>
          <w:sz w:val="16"/>
          <w:szCs w:val="16"/>
        </w:rPr>
        <w:t xml:space="preserve">tekuće </w:t>
      </w:r>
      <w:r w:rsidR="002E020F">
        <w:rPr>
          <w:rFonts w:ascii="Arial" w:hAnsi="Arial" w:cs="Arial"/>
          <w:sz w:val="16"/>
          <w:szCs w:val="16"/>
        </w:rPr>
        <w:lastRenderedPageBreak/>
        <w:t xml:space="preserve">pomoći Ministarstva kulture </w:t>
      </w:r>
      <w:r w:rsidR="004D336E">
        <w:rPr>
          <w:rFonts w:ascii="Arial" w:hAnsi="Arial" w:cs="Arial"/>
          <w:sz w:val="16"/>
          <w:szCs w:val="16"/>
        </w:rPr>
        <w:t>u iznosu od 119</w:t>
      </w:r>
      <w:r w:rsidR="002E020F">
        <w:rPr>
          <w:rFonts w:ascii="Arial" w:hAnsi="Arial" w:cs="Arial"/>
          <w:sz w:val="16"/>
          <w:szCs w:val="16"/>
        </w:rPr>
        <w:t xml:space="preserve">.000 kn za aktivnosti proračunskih korisnika, </w:t>
      </w:r>
      <w:r w:rsidR="004D336E">
        <w:rPr>
          <w:rFonts w:ascii="Arial" w:hAnsi="Arial" w:cs="Arial"/>
          <w:sz w:val="16"/>
          <w:szCs w:val="16"/>
        </w:rPr>
        <w:t>tekuće pomoći općine Lumbarda</w:t>
      </w:r>
      <w:r w:rsidR="009555AD">
        <w:rPr>
          <w:rFonts w:ascii="Arial" w:hAnsi="Arial" w:cs="Arial"/>
          <w:sz w:val="16"/>
          <w:szCs w:val="16"/>
        </w:rPr>
        <w:t xml:space="preserve"> </w:t>
      </w:r>
      <w:r w:rsidR="004D336E">
        <w:rPr>
          <w:rFonts w:ascii="Arial" w:hAnsi="Arial" w:cs="Arial"/>
          <w:sz w:val="16"/>
          <w:szCs w:val="16"/>
        </w:rPr>
        <w:t>od 57.116 kn za dječji vrtić te na tekuće pomoći HZZ u iznosu od 14.533 kn za djelatnike stručnog osposobljavanja.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A83089">
        <w:rPr>
          <w:rFonts w:ascii="Arial" w:hAnsi="Arial" w:cs="Arial"/>
          <w:b/>
          <w:sz w:val="16"/>
          <w:szCs w:val="16"/>
        </w:rPr>
        <w:t>Prihodi od imovine</w:t>
      </w:r>
      <w:r w:rsidRPr="00BE20A2">
        <w:rPr>
          <w:rFonts w:ascii="Arial" w:hAnsi="Arial" w:cs="Arial"/>
          <w:b/>
          <w:sz w:val="16"/>
          <w:szCs w:val="16"/>
        </w:rPr>
        <w:t xml:space="preserve"> (skupina 64</w:t>
      </w:r>
      <w:r w:rsidRPr="00BE20A2">
        <w:rPr>
          <w:rFonts w:ascii="Arial" w:hAnsi="Arial" w:cs="Arial"/>
          <w:sz w:val="16"/>
          <w:szCs w:val="16"/>
        </w:rPr>
        <w:t xml:space="preserve"> - naknade</w:t>
      </w:r>
      <w:r w:rsidRPr="00E363AE">
        <w:rPr>
          <w:rFonts w:ascii="Arial" w:hAnsi="Arial" w:cs="Arial"/>
          <w:sz w:val="16"/>
          <w:szCs w:val="16"/>
        </w:rPr>
        <w:t xml:space="preserve"> za koncesije, zakup poslovnog prostora i javnih površina, spomenička renta, naknada za nezakonito izgrađene zgrade)  ostvareni su  u </w:t>
      </w:r>
      <w:r w:rsidRPr="00BE20A2">
        <w:rPr>
          <w:rFonts w:ascii="Arial" w:hAnsi="Arial" w:cs="Arial"/>
          <w:sz w:val="16"/>
          <w:szCs w:val="16"/>
        </w:rPr>
        <w:t>iznosu od  1.</w:t>
      </w:r>
      <w:r w:rsidR="00A83089">
        <w:rPr>
          <w:rFonts w:ascii="Arial" w:hAnsi="Arial" w:cs="Arial"/>
          <w:sz w:val="16"/>
          <w:szCs w:val="16"/>
        </w:rPr>
        <w:t>672.889 kn</w:t>
      </w:r>
      <w:r w:rsidRPr="00BE20A2">
        <w:rPr>
          <w:rFonts w:ascii="Arial" w:hAnsi="Arial" w:cs="Arial"/>
          <w:sz w:val="16"/>
          <w:szCs w:val="16"/>
        </w:rPr>
        <w:t xml:space="preserve"> ili </w:t>
      </w:r>
      <w:r w:rsidR="00A83089">
        <w:rPr>
          <w:rFonts w:ascii="Arial" w:hAnsi="Arial" w:cs="Arial"/>
          <w:sz w:val="16"/>
          <w:szCs w:val="16"/>
        </w:rPr>
        <w:t>24</w:t>
      </w:r>
      <w:r w:rsidRPr="00BE20A2">
        <w:rPr>
          <w:rFonts w:ascii="Arial" w:hAnsi="Arial" w:cs="Arial"/>
          <w:sz w:val="16"/>
          <w:szCs w:val="16"/>
        </w:rPr>
        <w:t xml:space="preserve">% u odnosu na plan a </w:t>
      </w:r>
      <w:r w:rsidR="00A83089">
        <w:rPr>
          <w:rFonts w:ascii="Arial" w:hAnsi="Arial" w:cs="Arial"/>
          <w:sz w:val="16"/>
          <w:szCs w:val="16"/>
        </w:rPr>
        <w:t>34</w:t>
      </w:r>
      <w:r w:rsidRPr="00BE20A2">
        <w:rPr>
          <w:rFonts w:ascii="Arial" w:hAnsi="Arial" w:cs="Arial"/>
          <w:sz w:val="16"/>
          <w:szCs w:val="16"/>
        </w:rPr>
        <w:t xml:space="preserve">% </w:t>
      </w:r>
      <w:r w:rsidR="00A83089">
        <w:rPr>
          <w:rFonts w:ascii="Arial" w:hAnsi="Arial" w:cs="Arial"/>
          <w:sz w:val="16"/>
          <w:szCs w:val="16"/>
        </w:rPr>
        <w:t>više</w:t>
      </w:r>
      <w:r w:rsidRPr="00BE20A2">
        <w:rPr>
          <w:rFonts w:ascii="Arial" w:hAnsi="Arial" w:cs="Arial"/>
          <w:sz w:val="16"/>
          <w:szCs w:val="16"/>
        </w:rPr>
        <w:t xml:space="preserve"> u odnosu na isto razdoblje prethodne godine. 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</w:rPr>
        <w:t>Prihodi od upravnih i administrativnih pristojbi, pristojbi po posebnim propisima i naknada (skupina 65</w:t>
      </w:r>
      <w:r w:rsidRPr="00BE20A2">
        <w:rPr>
          <w:rFonts w:ascii="Arial" w:hAnsi="Arial" w:cs="Arial"/>
          <w:sz w:val="16"/>
          <w:szCs w:val="16"/>
        </w:rPr>
        <w:t xml:space="preserve"> - komunalna naknada, komunalni doprinos, vodni doprinos, boravišne pristojbe, prihod od prodaje drž.biljega, sufinanciranja i dr</w:t>
      </w:r>
      <w:r>
        <w:rPr>
          <w:rFonts w:ascii="Arial" w:hAnsi="Arial" w:cs="Arial"/>
          <w:sz w:val="16"/>
          <w:szCs w:val="16"/>
        </w:rPr>
        <w:t>)</w:t>
      </w:r>
      <w:r w:rsidRPr="00BE20A2">
        <w:rPr>
          <w:rFonts w:ascii="Arial" w:hAnsi="Arial" w:cs="Arial"/>
          <w:sz w:val="16"/>
          <w:szCs w:val="16"/>
        </w:rPr>
        <w:t xml:space="preserve">., ostvareni su u iznosu od  </w:t>
      </w:r>
      <w:r w:rsidR="00EA3286">
        <w:rPr>
          <w:rFonts w:ascii="Arial" w:hAnsi="Arial" w:cs="Arial"/>
          <w:sz w:val="16"/>
          <w:szCs w:val="16"/>
        </w:rPr>
        <w:t>1.698.086 kn</w:t>
      </w:r>
      <w:r w:rsidRPr="00BE20A2">
        <w:rPr>
          <w:rFonts w:ascii="Arial" w:hAnsi="Arial" w:cs="Arial"/>
          <w:sz w:val="16"/>
          <w:szCs w:val="16"/>
        </w:rPr>
        <w:t xml:space="preserve"> ili </w:t>
      </w:r>
      <w:r w:rsidR="00EA3286">
        <w:rPr>
          <w:rFonts w:ascii="Arial" w:hAnsi="Arial" w:cs="Arial"/>
          <w:sz w:val="16"/>
          <w:szCs w:val="16"/>
        </w:rPr>
        <w:t>25</w:t>
      </w:r>
      <w:r w:rsidRPr="00BE20A2">
        <w:rPr>
          <w:rFonts w:ascii="Arial" w:hAnsi="Arial" w:cs="Arial"/>
          <w:sz w:val="16"/>
          <w:szCs w:val="16"/>
        </w:rPr>
        <w:t xml:space="preserve">% od plana a </w:t>
      </w:r>
      <w:r w:rsidR="00EA3286">
        <w:rPr>
          <w:rFonts w:ascii="Arial" w:hAnsi="Arial" w:cs="Arial"/>
          <w:sz w:val="16"/>
          <w:szCs w:val="16"/>
        </w:rPr>
        <w:t>26</w:t>
      </w:r>
      <w:r w:rsidRPr="00BE20A2">
        <w:rPr>
          <w:rFonts w:ascii="Arial" w:hAnsi="Arial" w:cs="Arial"/>
          <w:sz w:val="16"/>
          <w:szCs w:val="16"/>
        </w:rPr>
        <w:t xml:space="preserve">% </w:t>
      </w:r>
      <w:r w:rsidR="00EA3286">
        <w:rPr>
          <w:rFonts w:ascii="Arial" w:hAnsi="Arial" w:cs="Arial"/>
          <w:sz w:val="16"/>
          <w:szCs w:val="16"/>
        </w:rPr>
        <w:t>manje</w:t>
      </w:r>
      <w:r w:rsidRPr="00BE20A2">
        <w:rPr>
          <w:rFonts w:ascii="Arial" w:hAnsi="Arial" w:cs="Arial"/>
          <w:sz w:val="16"/>
          <w:szCs w:val="16"/>
        </w:rPr>
        <w:t xml:space="preserve"> nego u istom razdoblju  prethodne godine. Tu su iskazani prihodi korisnika u iznosu od 4</w:t>
      </w:r>
      <w:r w:rsidR="006F51F1">
        <w:rPr>
          <w:rFonts w:ascii="Arial" w:hAnsi="Arial" w:cs="Arial"/>
          <w:sz w:val="16"/>
          <w:szCs w:val="16"/>
        </w:rPr>
        <w:t>36.822 kn</w:t>
      </w:r>
      <w:r w:rsidRPr="00BE20A2">
        <w:rPr>
          <w:rFonts w:ascii="Arial" w:hAnsi="Arial" w:cs="Arial"/>
          <w:sz w:val="16"/>
          <w:szCs w:val="16"/>
        </w:rPr>
        <w:t xml:space="preserve"> (Dječji vrtić Korčula-sufinanciranja cijene usluge vrtića od roditelja).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</w:rPr>
        <w:t>Prihodi od prodaje proizvoda i robe te pruženih usluga i prihodi od donacija (skupina 66</w:t>
      </w:r>
      <w:r w:rsidRPr="00BE20A2">
        <w:rPr>
          <w:rFonts w:ascii="Arial" w:hAnsi="Arial" w:cs="Arial"/>
          <w:sz w:val="16"/>
          <w:szCs w:val="16"/>
        </w:rPr>
        <w:t xml:space="preserve">) ostvareni su u iznosu od </w:t>
      </w:r>
      <w:r w:rsidR="006B2C6D">
        <w:rPr>
          <w:rFonts w:ascii="Arial" w:hAnsi="Arial" w:cs="Arial"/>
          <w:sz w:val="16"/>
          <w:szCs w:val="16"/>
        </w:rPr>
        <w:t>257.29</w:t>
      </w:r>
      <w:r w:rsidR="00895FA9">
        <w:rPr>
          <w:rFonts w:ascii="Arial" w:hAnsi="Arial" w:cs="Arial"/>
          <w:sz w:val="16"/>
          <w:szCs w:val="16"/>
        </w:rPr>
        <w:t>0</w:t>
      </w:r>
      <w:r w:rsidR="002379A6">
        <w:rPr>
          <w:rFonts w:ascii="Arial" w:hAnsi="Arial" w:cs="Arial"/>
          <w:sz w:val="16"/>
          <w:szCs w:val="16"/>
        </w:rPr>
        <w:t xml:space="preserve"> kn ili 11% od plana a 4</w:t>
      </w:r>
      <w:r w:rsidRPr="00BE20A2">
        <w:rPr>
          <w:rFonts w:ascii="Arial" w:hAnsi="Arial" w:cs="Arial"/>
          <w:sz w:val="16"/>
          <w:szCs w:val="16"/>
        </w:rPr>
        <w:t>% manje nego u istom razdoblju prethodne godine. Pri</w:t>
      </w:r>
      <w:r w:rsidR="002379A6">
        <w:rPr>
          <w:rFonts w:ascii="Arial" w:hAnsi="Arial" w:cs="Arial"/>
          <w:sz w:val="16"/>
          <w:szCs w:val="16"/>
        </w:rPr>
        <w:t xml:space="preserve">hodi ove skupine </w:t>
      </w:r>
      <w:r w:rsidRPr="00BE20A2">
        <w:rPr>
          <w:rFonts w:ascii="Arial" w:hAnsi="Arial" w:cs="Arial"/>
          <w:sz w:val="16"/>
          <w:szCs w:val="16"/>
        </w:rPr>
        <w:t>odnose</w:t>
      </w:r>
      <w:r w:rsidR="002379A6">
        <w:rPr>
          <w:rFonts w:ascii="Arial" w:hAnsi="Arial" w:cs="Arial"/>
          <w:sz w:val="16"/>
          <w:szCs w:val="16"/>
        </w:rPr>
        <w:t xml:space="preserve"> se</w:t>
      </w:r>
      <w:r w:rsidRPr="00BE20A2">
        <w:rPr>
          <w:rFonts w:ascii="Arial" w:hAnsi="Arial" w:cs="Arial"/>
          <w:sz w:val="16"/>
          <w:szCs w:val="16"/>
        </w:rPr>
        <w:t xml:space="preserve"> na proračunske korisnike i to pretežito prihode od pruženi</w:t>
      </w:r>
      <w:r w:rsidR="002379A6">
        <w:rPr>
          <w:rFonts w:ascii="Arial" w:hAnsi="Arial" w:cs="Arial"/>
          <w:sz w:val="16"/>
          <w:szCs w:val="16"/>
        </w:rPr>
        <w:t>h usluga proračunskih korisnika te donacije koje su ostvarene u iznosu od 3.100 kn.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</w:rPr>
        <w:t>Prihodi od kazni, upravnih mjera i ostali prihodi (skupina 68</w:t>
      </w:r>
      <w:r w:rsidRPr="00BE20A2">
        <w:rPr>
          <w:rFonts w:ascii="Arial" w:hAnsi="Arial" w:cs="Arial"/>
          <w:sz w:val="16"/>
          <w:szCs w:val="16"/>
        </w:rPr>
        <w:t xml:space="preserve">) ostvareni su s </w:t>
      </w:r>
      <w:r w:rsidR="002379A6">
        <w:rPr>
          <w:rFonts w:ascii="Arial" w:hAnsi="Arial" w:cs="Arial"/>
          <w:sz w:val="16"/>
          <w:szCs w:val="16"/>
        </w:rPr>
        <w:t>30.435 kn</w:t>
      </w:r>
      <w:r w:rsidRPr="00BE20A2">
        <w:rPr>
          <w:rFonts w:ascii="Arial" w:hAnsi="Arial" w:cs="Arial"/>
          <w:sz w:val="16"/>
          <w:szCs w:val="16"/>
        </w:rPr>
        <w:t xml:space="preserve"> ili </w:t>
      </w:r>
      <w:r w:rsidR="002379A6">
        <w:rPr>
          <w:rFonts w:ascii="Arial" w:hAnsi="Arial" w:cs="Arial"/>
          <w:sz w:val="16"/>
          <w:szCs w:val="16"/>
        </w:rPr>
        <w:t>62</w:t>
      </w:r>
      <w:r w:rsidRPr="00BE20A2">
        <w:rPr>
          <w:rFonts w:ascii="Arial" w:hAnsi="Arial" w:cs="Arial"/>
          <w:sz w:val="16"/>
          <w:szCs w:val="16"/>
        </w:rPr>
        <w:t xml:space="preserve">% manje nego prethodne godine, </w:t>
      </w:r>
      <w:r w:rsidR="002379A6">
        <w:rPr>
          <w:rFonts w:ascii="Arial" w:hAnsi="Arial" w:cs="Arial"/>
          <w:sz w:val="16"/>
          <w:szCs w:val="16"/>
        </w:rPr>
        <w:t>15</w:t>
      </w:r>
      <w:r w:rsidRPr="00BE20A2">
        <w:rPr>
          <w:rFonts w:ascii="Arial" w:hAnsi="Arial" w:cs="Arial"/>
          <w:sz w:val="16"/>
          <w:szCs w:val="16"/>
        </w:rPr>
        <w:t>% od plana. Ovi prihodi se odnose na prihode Grada i to prihode od kazni za prometne i ostale prekršaje u nadležnosti MUP-a.</w:t>
      </w:r>
    </w:p>
    <w:p w:rsidR="00760997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  <w:u w:val="single"/>
        </w:rPr>
        <w:t>Prihodi od prodaje nefinancijske imovine</w:t>
      </w:r>
      <w:r w:rsidRPr="00BE20A2">
        <w:rPr>
          <w:rFonts w:ascii="Arial" w:hAnsi="Arial" w:cs="Arial"/>
          <w:b/>
          <w:sz w:val="16"/>
          <w:szCs w:val="16"/>
        </w:rPr>
        <w:t xml:space="preserve"> (razred 7</w:t>
      </w:r>
      <w:r w:rsidRPr="00BE20A2">
        <w:rPr>
          <w:rFonts w:ascii="Arial" w:hAnsi="Arial" w:cs="Arial"/>
          <w:sz w:val="16"/>
          <w:szCs w:val="16"/>
        </w:rPr>
        <w:t xml:space="preserve">) ostvareni su s  </w:t>
      </w:r>
      <w:r w:rsidR="002379A6">
        <w:rPr>
          <w:rFonts w:ascii="Arial" w:hAnsi="Arial" w:cs="Arial"/>
          <w:sz w:val="16"/>
          <w:szCs w:val="16"/>
        </w:rPr>
        <w:t>1.570.585 kn</w:t>
      </w:r>
      <w:r w:rsidRPr="00BE20A2">
        <w:rPr>
          <w:rFonts w:ascii="Arial" w:hAnsi="Arial" w:cs="Arial"/>
          <w:sz w:val="16"/>
          <w:szCs w:val="16"/>
        </w:rPr>
        <w:t xml:space="preserve"> odnosno </w:t>
      </w:r>
      <w:r w:rsidR="002379A6">
        <w:rPr>
          <w:rFonts w:ascii="Arial" w:hAnsi="Arial" w:cs="Arial"/>
          <w:sz w:val="16"/>
          <w:szCs w:val="16"/>
        </w:rPr>
        <w:t>52</w:t>
      </w:r>
      <w:r w:rsidRPr="00BE20A2">
        <w:rPr>
          <w:rFonts w:ascii="Arial" w:hAnsi="Arial" w:cs="Arial"/>
          <w:sz w:val="16"/>
          <w:szCs w:val="16"/>
        </w:rPr>
        <w:t>% od plana a 14% više nego prošle godine</w:t>
      </w:r>
      <w:r w:rsidR="00BF5577">
        <w:rPr>
          <w:rFonts w:ascii="Arial" w:hAnsi="Arial" w:cs="Arial"/>
          <w:sz w:val="16"/>
          <w:szCs w:val="16"/>
        </w:rPr>
        <w:t>. Ovi prihodi znatno su povećani u odnosu na prethodnu godinu radi prodaje građevinskog zemljišta u Zavalatici te ukupan prihod od prodaje građevinskog zemljišta iznosi 1.546.980 kn. Ostali prihodi ovog razreda odnose se na prodaju stanova 19.605 kn i rashodovanog službenog automobila Passat u iznosu od 4.000 kn</w:t>
      </w:r>
      <w:r w:rsidRPr="00BE20A2">
        <w:rPr>
          <w:rFonts w:ascii="Arial" w:hAnsi="Arial" w:cs="Arial"/>
          <w:sz w:val="16"/>
          <w:szCs w:val="16"/>
        </w:rPr>
        <w:t>.</w:t>
      </w:r>
      <w:r w:rsidRPr="00E363AE">
        <w:rPr>
          <w:rFonts w:ascii="Arial" w:hAnsi="Arial" w:cs="Arial"/>
          <w:sz w:val="16"/>
          <w:szCs w:val="16"/>
        </w:rPr>
        <w:t xml:space="preserve">  </w:t>
      </w:r>
    </w:p>
    <w:p w:rsidR="00036AC9" w:rsidRDefault="00036AC9" w:rsidP="00760997">
      <w:pPr>
        <w:jc w:val="both"/>
        <w:rPr>
          <w:rFonts w:ascii="Arial" w:hAnsi="Arial" w:cs="Arial"/>
          <w:sz w:val="16"/>
          <w:szCs w:val="16"/>
        </w:rPr>
      </w:pPr>
    </w:p>
    <w:p w:rsidR="00036AC9" w:rsidRPr="00E363AE" w:rsidRDefault="00036AC9" w:rsidP="00760997">
      <w:pPr>
        <w:jc w:val="both"/>
        <w:rPr>
          <w:rFonts w:ascii="Arial" w:hAnsi="Arial" w:cs="Arial"/>
          <w:sz w:val="16"/>
          <w:szCs w:val="16"/>
        </w:rPr>
      </w:pPr>
    </w:p>
    <w:p w:rsidR="00036AC9" w:rsidRDefault="00036AC9" w:rsidP="00036AC9">
      <w:pPr>
        <w:rPr>
          <w:noProof/>
          <w:lang w:eastAsia="hr-HR"/>
        </w:rPr>
      </w:pPr>
      <w:r w:rsidRPr="00036AC9">
        <w:rPr>
          <w:noProof/>
          <w:lang w:eastAsia="hr-HR"/>
        </w:rPr>
        <w:drawing>
          <wp:inline distT="0" distB="0" distL="0" distR="0">
            <wp:extent cx="7028096" cy="3398808"/>
            <wp:effectExtent l="19050" t="0" r="1354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0997" w:rsidRPr="00036AC9" w:rsidRDefault="00760997" w:rsidP="00036AC9">
      <w:pPr>
        <w:rPr>
          <w:noProof/>
          <w:lang w:eastAsia="hr-HR"/>
        </w:rPr>
      </w:pPr>
      <w:r w:rsidRPr="006126AF">
        <w:rPr>
          <w:rFonts w:ascii="Arial" w:hAnsi="Arial" w:cs="Arial"/>
          <w:b/>
          <w:i/>
          <w:sz w:val="20"/>
          <w:szCs w:val="20"/>
          <w:u w:val="single"/>
        </w:rPr>
        <w:lastRenderedPageBreak/>
        <w:t>O rashodima i izdacima</w:t>
      </w:r>
      <w:r w:rsidRPr="006126AF">
        <w:rPr>
          <w:rFonts w:ascii="Arial" w:hAnsi="Arial" w:cs="Arial"/>
          <w:b/>
          <w:sz w:val="20"/>
          <w:szCs w:val="20"/>
          <w:u w:val="single"/>
        </w:rPr>
        <w:t>: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sz w:val="16"/>
          <w:szCs w:val="16"/>
        </w:rPr>
        <w:t xml:space="preserve">Rashodi i izdaci su izvršeni u visini od  </w:t>
      </w:r>
      <w:r w:rsidR="003672B7">
        <w:rPr>
          <w:rFonts w:ascii="Arial" w:hAnsi="Arial" w:cs="Arial"/>
          <w:sz w:val="16"/>
          <w:szCs w:val="16"/>
        </w:rPr>
        <w:t>20.849.366 kn</w:t>
      </w:r>
      <w:r w:rsidRPr="00BE20A2">
        <w:rPr>
          <w:rFonts w:ascii="Arial" w:hAnsi="Arial" w:cs="Arial"/>
          <w:sz w:val="16"/>
          <w:szCs w:val="16"/>
        </w:rPr>
        <w:t xml:space="preserve"> ili 2</w:t>
      </w:r>
      <w:r w:rsidR="003672B7">
        <w:rPr>
          <w:rFonts w:ascii="Arial" w:hAnsi="Arial" w:cs="Arial"/>
          <w:sz w:val="16"/>
          <w:szCs w:val="16"/>
        </w:rPr>
        <w:t>9</w:t>
      </w:r>
      <w:r w:rsidRPr="00BE20A2">
        <w:rPr>
          <w:rFonts w:ascii="Arial" w:hAnsi="Arial" w:cs="Arial"/>
          <w:sz w:val="16"/>
          <w:szCs w:val="16"/>
        </w:rPr>
        <w:t xml:space="preserve">% u odnosu na planirano a </w:t>
      </w:r>
      <w:r w:rsidR="003672B7">
        <w:rPr>
          <w:rFonts w:ascii="Arial" w:hAnsi="Arial" w:cs="Arial"/>
          <w:sz w:val="16"/>
          <w:szCs w:val="16"/>
        </w:rPr>
        <w:t>66</w:t>
      </w:r>
      <w:r w:rsidRPr="00BE20A2">
        <w:rPr>
          <w:rFonts w:ascii="Arial" w:hAnsi="Arial" w:cs="Arial"/>
          <w:sz w:val="16"/>
          <w:szCs w:val="16"/>
        </w:rPr>
        <w:t>% više nego u istom razdoblju prethodne godine</w:t>
      </w:r>
      <w:r w:rsidRPr="00BE20A2">
        <w:rPr>
          <w:rFonts w:ascii="Arial" w:hAnsi="Arial" w:cs="Arial"/>
          <w:color w:val="FF0000"/>
          <w:sz w:val="16"/>
          <w:szCs w:val="16"/>
        </w:rPr>
        <w:t xml:space="preserve">. </w:t>
      </w:r>
      <w:r w:rsidRPr="00BE20A2">
        <w:rPr>
          <w:rFonts w:ascii="Arial" w:hAnsi="Arial" w:cs="Arial"/>
          <w:sz w:val="16"/>
          <w:szCs w:val="16"/>
        </w:rPr>
        <w:t xml:space="preserve">Od  tog iznosa </w:t>
      </w:r>
      <w:r w:rsidR="00286202">
        <w:rPr>
          <w:rFonts w:ascii="Arial" w:hAnsi="Arial" w:cs="Arial"/>
          <w:sz w:val="16"/>
          <w:szCs w:val="16"/>
        </w:rPr>
        <w:t>4.669.997 kn</w:t>
      </w:r>
      <w:r w:rsidRPr="00BE20A2">
        <w:rPr>
          <w:rFonts w:ascii="Arial" w:hAnsi="Arial" w:cs="Arial"/>
          <w:sz w:val="16"/>
          <w:szCs w:val="16"/>
        </w:rPr>
        <w:t xml:space="preserve"> su rashodi ustanova korisnika Proračuna.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4A6BC3">
        <w:rPr>
          <w:rFonts w:ascii="Arial" w:hAnsi="Arial" w:cs="Arial"/>
          <w:b/>
          <w:sz w:val="16"/>
          <w:szCs w:val="16"/>
          <w:u w:val="single"/>
        </w:rPr>
        <w:t>Rashodi poslovanja</w:t>
      </w:r>
      <w:r w:rsidRPr="00BE20A2">
        <w:rPr>
          <w:rFonts w:ascii="Arial" w:hAnsi="Arial" w:cs="Arial"/>
          <w:b/>
          <w:sz w:val="16"/>
          <w:szCs w:val="16"/>
        </w:rPr>
        <w:t xml:space="preserve"> (razred 3</w:t>
      </w:r>
      <w:r w:rsidR="00842EFC">
        <w:rPr>
          <w:rFonts w:ascii="Arial" w:hAnsi="Arial" w:cs="Arial"/>
          <w:sz w:val="16"/>
          <w:szCs w:val="16"/>
        </w:rPr>
        <w:t>) iznose 10.</w:t>
      </w:r>
      <w:r w:rsidR="004A6BC3">
        <w:rPr>
          <w:rFonts w:ascii="Arial" w:hAnsi="Arial" w:cs="Arial"/>
          <w:sz w:val="16"/>
          <w:szCs w:val="16"/>
        </w:rPr>
        <w:t>281.415 kn</w:t>
      </w:r>
      <w:r w:rsidRPr="00BE20A2">
        <w:rPr>
          <w:rFonts w:ascii="Arial" w:hAnsi="Arial" w:cs="Arial"/>
          <w:sz w:val="16"/>
          <w:szCs w:val="16"/>
        </w:rPr>
        <w:t xml:space="preserve"> ili 4</w:t>
      </w:r>
      <w:r w:rsidR="004A6BC3">
        <w:rPr>
          <w:rFonts w:ascii="Arial" w:hAnsi="Arial" w:cs="Arial"/>
          <w:sz w:val="16"/>
          <w:szCs w:val="16"/>
        </w:rPr>
        <w:t>4</w:t>
      </w:r>
      <w:r w:rsidRPr="00BE20A2">
        <w:rPr>
          <w:rFonts w:ascii="Arial" w:hAnsi="Arial" w:cs="Arial"/>
          <w:sz w:val="16"/>
          <w:szCs w:val="16"/>
        </w:rPr>
        <w:t xml:space="preserve">% od planiranog a </w:t>
      </w:r>
      <w:r w:rsidR="004A6BC3">
        <w:rPr>
          <w:rFonts w:ascii="Arial" w:hAnsi="Arial" w:cs="Arial"/>
          <w:sz w:val="16"/>
          <w:szCs w:val="16"/>
        </w:rPr>
        <w:t>1</w:t>
      </w:r>
      <w:r w:rsidRPr="00BE20A2">
        <w:rPr>
          <w:rFonts w:ascii="Arial" w:hAnsi="Arial" w:cs="Arial"/>
          <w:sz w:val="16"/>
          <w:szCs w:val="16"/>
        </w:rPr>
        <w:t>% više nego u istom razdoblju prethodne godine</w:t>
      </w:r>
      <w:r w:rsidRPr="00BE20A2">
        <w:rPr>
          <w:rFonts w:ascii="Arial" w:hAnsi="Arial" w:cs="Arial"/>
          <w:color w:val="FF0000"/>
          <w:sz w:val="16"/>
          <w:szCs w:val="16"/>
        </w:rPr>
        <w:t xml:space="preserve">. </w:t>
      </w:r>
      <w:r w:rsidRPr="00BE20A2">
        <w:rPr>
          <w:rFonts w:ascii="Arial" w:hAnsi="Arial" w:cs="Arial"/>
          <w:sz w:val="16"/>
          <w:szCs w:val="16"/>
        </w:rPr>
        <w:t xml:space="preserve">Od ovog iznosa </w:t>
      </w:r>
      <w:r w:rsidR="003D634A">
        <w:rPr>
          <w:rFonts w:ascii="Arial" w:hAnsi="Arial" w:cs="Arial"/>
          <w:sz w:val="16"/>
          <w:szCs w:val="16"/>
        </w:rPr>
        <w:t>4.263.388 kn</w:t>
      </w:r>
      <w:r w:rsidRPr="00BE20A2">
        <w:rPr>
          <w:rFonts w:ascii="Arial" w:hAnsi="Arial" w:cs="Arial"/>
          <w:sz w:val="16"/>
          <w:szCs w:val="16"/>
        </w:rPr>
        <w:t xml:space="preserve"> odnosi  na ustanove korisnike Proračuna.</w:t>
      </w:r>
    </w:p>
    <w:p w:rsidR="001C5AC8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  <w:u w:val="single"/>
        </w:rPr>
        <w:t>Rashodi za nabavu nefinancijske imovine</w:t>
      </w:r>
      <w:r w:rsidRPr="00BE20A2">
        <w:rPr>
          <w:rFonts w:ascii="Arial" w:hAnsi="Arial" w:cs="Arial"/>
          <w:sz w:val="16"/>
          <w:szCs w:val="16"/>
          <w:u w:val="single"/>
        </w:rPr>
        <w:t xml:space="preserve"> </w:t>
      </w:r>
      <w:r w:rsidRPr="00BE20A2">
        <w:rPr>
          <w:rFonts w:ascii="Arial" w:hAnsi="Arial" w:cs="Arial"/>
          <w:b/>
          <w:sz w:val="16"/>
          <w:szCs w:val="16"/>
          <w:u w:val="single"/>
        </w:rPr>
        <w:t>(razred 4)</w:t>
      </w:r>
      <w:r w:rsidRPr="00BE20A2">
        <w:rPr>
          <w:rFonts w:ascii="Arial" w:hAnsi="Arial" w:cs="Arial"/>
          <w:sz w:val="16"/>
          <w:szCs w:val="16"/>
        </w:rPr>
        <w:t xml:space="preserve"> ostvareni su u iznosu od </w:t>
      </w:r>
      <w:r w:rsidR="003D634A">
        <w:rPr>
          <w:rFonts w:ascii="Arial" w:hAnsi="Arial" w:cs="Arial"/>
          <w:sz w:val="16"/>
          <w:szCs w:val="16"/>
        </w:rPr>
        <w:t>10.262.118 kn</w:t>
      </w:r>
      <w:r w:rsidRPr="00BE20A2">
        <w:rPr>
          <w:rFonts w:ascii="Arial" w:hAnsi="Arial" w:cs="Arial"/>
          <w:sz w:val="16"/>
          <w:szCs w:val="16"/>
        </w:rPr>
        <w:t xml:space="preserve"> ili </w:t>
      </w:r>
      <w:r w:rsidR="003D634A">
        <w:rPr>
          <w:rFonts w:ascii="Arial" w:hAnsi="Arial" w:cs="Arial"/>
          <w:sz w:val="16"/>
          <w:szCs w:val="16"/>
        </w:rPr>
        <w:t>21%</w:t>
      </w:r>
      <w:r w:rsidRPr="00BE20A2">
        <w:rPr>
          <w:rFonts w:ascii="Arial" w:hAnsi="Arial" w:cs="Arial"/>
          <w:sz w:val="16"/>
          <w:szCs w:val="16"/>
        </w:rPr>
        <w:t xml:space="preserve"> od plana a </w:t>
      </w:r>
      <w:r w:rsidR="003D634A">
        <w:rPr>
          <w:rFonts w:ascii="Arial" w:hAnsi="Arial" w:cs="Arial"/>
          <w:sz w:val="16"/>
          <w:szCs w:val="16"/>
        </w:rPr>
        <w:t>389</w:t>
      </w:r>
      <w:r w:rsidRPr="00BE20A2">
        <w:rPr>
          <w:rFonts w:ascii="Arial" w:hAnsi="Arial" w:cs="Arial"/>
          <w:sz w:val="16"/>
          <w:szCs w:val="16"/>
        </w:rPr>
        <w:t>% više nego u istom razdoblju prethodne godine.</w:t>
      </w:r>
      <w:r w:rsidRPr="00BE20A2">
        <w:rPr>
          <w:rFonts w:ascii="Arial" w:hAnsi="Arial" w:cs="Arial"/>
          <w:color w:val="FF0000"/>
          <w:sz w:val="16"/>
          <w:szCs w:val="16"/>
        </w:rPr>
        <w:t xml:space="preserve"> </w:t>
      </w:r>
      <w:r w:rsidR="00DF6253">
        <w:rPr>
          <w:rFonts w:ascii="Arial" w:hAnsi="Arial" w:cs="Arial"/>
          <w:sz w:val="16"/>
          <w:szCs w:val="16"/>
        </w:rPr>
        <w:t xml:space="preserve">Ovi rashodi se </w:t>
      </w:r>
      <w:r w:rsidRPr="00BE20A2">
        <w:rPr>
          <w:rFonts w:ascii="Arial" w:hAnsi="Arial" w:cs="Arial"/>
          <w:sz w:val="16"/>
          <w:szCs w:val="16"/>
        </w:rPr>
        <w:t xml:space="preserve"> odnose na </w:t>
      </w:r>
      <w:r w:rsidR="00DF6253">
        <w:rPr>
          <w:rFonts w:ascii="Arial" w:hAnsi="Arial" w:cs="Arial"/>
          <w:sz w:val="16"/>
          <w:szCs w:val="16"/>
        </w:rPr>
        <w:t>sanaciju zgrade Gradskog muzeja 2.220.586 kn, uređenje šetališta Tina Ujevića 1.804.101 kn,</w:t>
      </w:r>
      <w:r w:rsidRPr="00BE20A2">
        <w:rPr>
          <w:rFonts w:ascii="Arial" w:hAnsi="Arial" w:cs="Arial"/>
          <w:sz w:val="16"/>
          <w:szCs w:val="16"/>
        </w:rPr>
        <w:t xml:space="preserve"> kupnju građevinskog zemljišta </w:t>
      </w:r>
      <w:r w:rsidR="00DF6253">
        <w:rPr>
          <w:rFonts w:ascii="Arial" w:hAnsi="Arial" w:cs="Arial"/>
          <w:sz w:val="16"/>
          <w:szCs w:val="16"/>
        </w:rPr>
        <w:t>u iznosu od 1.455</w:t>
      </w:r>
      <w:r w:rsidR="00405F2A">
        <w:rPr>
          <w:rFonts w:ascii="Arial" w:hAnsi="Arial" w:cs="Arial"/>
          <w:sz w:val="16"/>
          <w:szCs w:val="16"/>
        </w:rPr>
        <w:t xml:space="preserve">.690 kn i to za: sportsku zonu Ekonomija, širenje sportskog igrališta kraj školske dvorane s mogućom izgradnjom podzemne garaže i nogometno igralište Rusković. Osatali rashodi ovog razreda troška odnose se na kupnju gospodarske zgrade ex.Žuva 1.093.840 kn, obnovu kule Marka Pola 752.384 kn, uređenje pijace u Pupnatu 633.641 kn, </w:t>
      </w:r>
      <w:r w:rsidR="001C5AC8">
        <w:rPr>
          <w:rFonts w:ascii="Arial" w:hAnsi="Arial" w:cs="Arial"/>
          <w:sz w:val="16"/>
          <w:szCs w:val="16"/>
        </w:rPr>
        <w:t>raznu projektnu dokumentaciju 603.727 kn, obnovu Južnog zida 340.469 kn, širenje i održavanje mreže javne rasvjete 293.289 kn, uređenje plivališta KPK 270.776 kn, uređenje dječjeg vrtića Korčula 190.809 kn,</w:t>
      </w:r>
      <w:r w:rsidRPr="00BE20A2">
        <w:rPr>
          <w:rFonts w:ascii="Arial" w:hAnsi="Arial" w:cs="Arial"/>
          <w:sz w:val="16"/>
          <w:szCs w:val="16"/>
        </w:rPr>
        <w:t xml:space="preserve"> </w:t>
      </w:r>
      <w:r w:rsidR="001C5AC8">
        <w:rPr>
          <w:rFonts w:ascii="Arial" w:hAnsi="Arial" w:cs="Arial"/>
          <w:sz w:val="16"/>
          <w:szCs w:val="16"/>
        </w:rPr>
        <w:t xml:space="preserve">ulaganja u računalne programe i licence 107.827 kn, kupnju 4 defibrilatora 62.420 kn te </w:t>
      </w:r>
      <w:r w:rsidR="001C5AC8" w:rsidRPr="00BE20A2">
        <w:rPr>
          <w:rFonts w:ascii="Arial" w:hAnsi="Arial" w:cs="Arial"/>
          <w:sz w:val="16"/>
          <w:szCs w:val="16"/>
        </w:rPr>
        <w:t>dodatna ulaganja na nerazvrstanim cestama</w:t>
      </w:r>
      <w:r w:rsidR="001C5AC8">
        <w:rPr>
          <w:rFonts w:ascii="Arial" w:hAnsi="Arial" w:cs="Arial"/>
          <w:sz w:val="16"/>
          <w:szCs w:val="16"/>
        </w:rPr>
        <w:t xml:space="preserve"> 25.950 kn.</w:t>
      </w:r>
    </w:p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sz w:val="16"/>
          <w:szCs w:val="16"/>
        </w:rPr>
        <w:t xml:space="preserve"> Na ustanove korisnike Proračuna odnosi se </w:t>
      </w:r>
      <w:r w:rsidR="00DE0C2F">
        <w:rPr>
          <w:rFonts w:ascii="Arial" w:hAnsi="Arial" w:cs="Arial"/>
          <w:sz w:val="16"/>
          <w:szCs w:val="16"/>
        </w:rPr>
        <w:t>406.609 kn. Rashodi se odnose na:</w:t>
      </w:r>
      <w:r w:rsidRPr="00BE20A2">
        <w:rPr>
          <w:rFonts w:ascii="Arial" w:hAnsi="Arial" w:cs="Arial"/>
          <w:sz w:val="16"/>
          <w:szCs w:val="16"/>
        </w:rPr>
        <w:t xml:space="preserve"> </w:t>
      </w:r>
      <w:r w:rsidR="00DE0C2F">
        <w:rPr>
          <w:rFonts w:ascii="Arial" w:hAnsi="Arial" w:cs="Arial"/>
          <w:sz w:val="16"/>
          <w:szCs w:val="16"/>
        </w:rPr>
        <w:t xml:space="preserve">uređenje kino sale Liburna 181.480 kn, raznu opremu ustanova 143.863 kn, </w:t>
      </w:r>
      <w:r w:rsidRPr="00BE20A2">
        <w:rPr>
          <w:rFonts w:ascii="Arial" w:hAnsi="Arial" w:cs="Arial"/>
          <w:sz w:val="16"/>
          <w:szCs w:val="16"/>
        </w:rPr>
        <w:t>nabavu knjiga u Knjižnici</w:t>
      </w:r>
      <w:r w:rsidR="00DE0C2F">
        <w:rPr>
          <w:rFonts w:ascii="Arial" w:hAnsi="Arial" w:cs="Arial"/>
          <w:sz w:val="16"/>
          <w:szCs w:val="16"/>
        </w:rPr>
        <w:t xml:space="preserve"> 47.988 kn te troškovnik dogradnje bazena 33.278 kn.</w:t>
      </w:r>
    </w:p>
    <w:p w:rsidR="00760997" w:rsidRDefault="00760997" w:rsidP="00760997">
      <w:pPr>
        <w:jc w:val="both"/>
        <w:rPr>
          <w:rFonts w:ascii="Arial" w:hAnsi="Arial" w:cs="Arial"/>
          <w:sz w:val="16"/>
          <w:szCs w:val="16"/>
        </w:rPr>
      </w:pPr>
      <w:r w:rsidRPr="00BE20A2">
        <w:rPr>
          <w:rFonts w:ascii="Arial" w:hAnsi="Arial" w:cs="Arial"/>
          <w:b/>
          <w:sz w:val="16"/>
          <w:szCs w:val="16"/>
          <w:u w:val="single"/>
        </w:rPr>
        <w:t>Izdaci za financijsku imovinu i otplate zajmova</w:t>
      </w:r>
      <w:r w:rsidRPr="00BE20A2">
        <w:rPr>
          <w:rFonts w:ascii="Arial" w:hAnsi="Arial" w:cs="Arial"/>
          <w:b/>
          <w:sz w:val="16"/>
          <w:szCs w:val="16"/>
        </w:rPr>
        <w:t xml:space="preserve"> (razred 5)</w:t>
      </w:r>
      <w:r w:rsidRPr="00BE20A2">
        <w:rPr>
          <w:rFonts w:ascii="Arial" w:hAnsi="Arial" w:cs="Arial"/>
          <w:sz w:val="16"/>
          <w:szCs w:val="16"/>
        </w:rPr>
        <w:t xml:space="preserve"> iznose  305.833 kuna ili </w:t>
      </w:r>
      <w:r w:rsidRPr="00BE20A2">
        <w:rPr>
          <w:rFonts w:ascii="Arial" w:hAnsi="Arial" w:cs="Arial"/>
          <w:color w:val="000000"/>
          <w:sz w:val="16"/>
          <w:szCs w:val="16"/>
        </w:rPr>
        <w:t>42</w:t>
      </w:r>
      <w:r w:rsidRPr="00BE20A2">
        <w:rPr>
          <w:rFonts w:ascii="Arial" w:hAnsi="Arial" w:cs="Arial"/>
          <w:sz w:val="16"/>
          <w:szCs w:val="16"/>
        </w:rPr>
        <w:t>% od planiranog godišnjeg iznosa a odnose se na otplatu kredita Zagrebačke banke d.d.</w:t>
      </w:r>
    </w:p>
    <w:p w:rsidR="00842EFC" w:rsidRPr="00E363AE" w:rsidRDefault="00842EFC" w:rsidP="00760997">
      <w:pPr>
        <w:jc w:val="both"/>
        <w:rPr>
          <w:rFonts w:ascii="Arial" w:hAnsi="Arial" w:cs="Arial"/>
          <w:sz w:val="16"/>
          <w:szCs w:val="16"/>
        </w:rPr>
      </w:pPr>
    </w:p>
    <w:p w:rsidR="00760997" w:rsidRDefault="00760997" w:rsidP="00760997">
      <w:pPr>
        <w:jc w:val="both"/>
        <w:rPr>
          <w:rFonts w:ascii="Arial" w:hAnsi="Arial" w:cs="Arial"/>
          <w:sz w:val="16"/>
          <w:szCs w:val="16"/>
        </w:rPr>
      </w:pPr>
    </w:p>
    <w:p w:rsidR="00760997" w:rsidRDefault="00842EFC" w:rsidP="00C50FB8">
      <w:pPr>
        <w:rPr>
          <w:rFonts w:ascii="Arial" w:hAnsi="Arial" w:cs="Arial"/>
          <w:noProof/>
          <w:sz w:val="16"/>
          <w:szCs w:val="16"/>
          <w:lang w:eastAsia="hr-HR"/>
        </w:rPr>
      </w:pPr>
      <w:r w:rsidRPr="00842EFC">
        <w:rPr>
          <w:rFonts w:ascii="Arial" w:hAnsi="Arial" w:cs="Arial"/>
          <w:noProof/>
          <w:sz w:val="16"/>
          <w:szCs w:val="16"/>
          <w:lang w:eastAsia="hr-HR"/>
        </w:rPr>
        <w:drawing>
          <wp:inline distT="0" distB="0" distL="0" distR="0">
            <wp:extent cx="5029200" cy="3019424"/>
            <wp:effectExtent l="1905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767D" w:rsidRDefault="0083767D" w:rsidP="00C50FB8">
      <w:pPr>
        <w:rPr>
          <w:rFonts w:ascii="Arial" w:hAnsi="Arial" w:cs="Arial"/>
          <w:noProof/>
          <w:sz w:val="16"/>
          <w:szCs w:val="16"/>
          <w:lang w:eastAsia="hr-HR"/>
        </w:rPr>
      </w:pPr>
    </w:p>
    <w:p w:rsidR="00D311EF" w:rsidRDefault="00D311EF" w:rsidP="00C50FB8">
      <w:pPr>
        <w:rPr>
          <w:rFonts w:ascii="Arial" w:hAnsi="Arial" w:cs="Arial"/>
          <w:noProof/>
          <w:sz w:val="16"/>
          <w:szCs w:val="16"/>
          <w:highlight w:val="green"/>
          <w:lang w:eastAsia="hr-HR"/>
        </w:rPr>
      </w:pPr>
    </w:p>
    <w:p w:rsidR="0083767D" w:rsidRPr="00C50FB8" w:rsidRDefault="0083767D" w:rsidP="00C50FB8">
      <w:pPr>
        <w:rPr>
          <w:rFonts w:ascii="Arial" w:hAnsi="Arial" w:cs="Arial"/>
          <w:noProof/>
          <w:sz w:val="16"/>
          <w:szCs w:val="16"/>
          <w:lang w:eastAsia="hr-HR"/>
        </w:rPr>
      </w:pPr>
      <w:r w:rsidRPr="00D311EF">
        <w:rPr>
          <w:rFonts w:ascii="Arial" w:hAnsi="Arial" w:cs="Arial"/>
          <w:b/>
          <w:i/>
          <w:noProof/>
          <w:sz w:val="16"/>
          <w:szCs w:val="16"/>
          <w:lang w:eastAsia="hr-HR"/>
        </w:rPr>
        <w:lastRenderedPageBreak/>
        <w:t>U izvještajnom razdoblju, rashodi proračunskih korisnika bili su kako slijedi</w:t>
      </w:r>
      <w:r>
        <w:rPr>
          <w:rFonts w:ascii="Arial" w:hAnsi="Arial" w:cs="Arial"/>
          <w:noProof/>
          <w:sz w:val="16"/>
          <w:szCs w:val="16"/>
          <w:lang w:eastAsia="hr-HR"/>
        </w:rPr>
        <w:t>:</w:t>
      </w:r>
    </w:p>
    <w:tbl>
      <w:tblPr>
        <w:tblW w:w="5116" w:type="dxa"/>
        <w:tblInd w:w="95" w:type="dxa"/>
        <w:tblLook w:val="04A0"/>
      </w:tblPr>
      <w:tblGrid>
        <w:gridCol w:w="2848"/>
        <w:gridCol w:w="1134"/>
        <w:gridCol w:w="1134"/>
      </w:tblGrid>
      <w:tr w:rsidR="00760997" w:rsidRPr="00016FD7" w:rsidTr="00016FD7">
        <w:trPr>
          <w:trHeight w:val="28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 xml:space="preserve">ostvarenje 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Gradski muzej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760997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20A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  <w:r w:rsidR="00181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154.618</w:t>
            </w:r>
            <w:r w:rsidRPr="00BE20A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181ECE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334.695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Gradska knjižnica Ivan Vidali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758.500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386.233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Dječji vrtić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3.639.153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1.799.288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Centar za kulturu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926.990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499.492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Ustanova Športski objekti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2.107.480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1.650.289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8.586.741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310690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4.669.997</w:t>
            </w:r>
          </w:p>
        </w:tc>
      </w:tr>
    </w:tbl>
    <w:p w:rsidR="00760997" w:rsidRPr="00BE20A2" w:rsidRDefault="00760997" w:rsidP="00760997">
      <w:pPr>
        <w:jc w:val="both"/>
        <w:rPr>
          <w:rFonts w:ascii="Arial" w:hAnsi="Arial" w:cs="Arial"/>
          <w:sz w:val="16"/>
          <w:szCs w:val="16"/>
        </w:rPr>
      </w:pPr>
    </w:p>
    <w:p w:rsidR="00760997" w:rsidRDefault="00760997" w:rsidP="00760997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A14CB1" w:rsidRDefault="00A14CB1" w:rsidP="00760997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A14CB1" w:rsidRDefault="00A14CB1" w:rsidP="00760997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A14CB1" w:rsidRDefault="00A14CB1" w:rsidP="00760997"/>
    <w:p w:rsidR="00760997" w:rsidRPr="00E86DF3" w:rsidRDefault="00E86DF3" w:rsidP="00760997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sz w:val="18"/>
          <w:szCs w:val="18"/>
        </w:rPr>
      </w:pPr>
      <w:r w:rsidRPr="00E86DF3">
        <w:rPr>
          <w:rFonts w:ascii="Arial" w:hAnsi="Arial" w:cs="Arial"/>
          <w:b/>
          <w:i/>
          <w:noProof/>
          <w:sz w:val="18"/>
          <w:szCs w:val="18"/>
          <w:lang w:eastAsia="hr-HR"/>
        </w:rPr>
        <w:drawing>
          <wp:inline distT="0" distB="0" distL="0" distR="0">
            <wp:extent cx="5711936" cy="3220278"/>
            <wp:effectExtent l="19050" t="0" r="3064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4CB1" w:rsidRDefault="00A14CB1" w:rsidP="00760997">
      <w:pPr>
        <w:jc w:val="both"/>
        <w:rPr>
          <w:rFonts w:ascii="Arial" w:hAnsi="Arial" w:cs="Arial"/>
          <w:sz w:val="16"/>
          <w:szCs w:val="16"/>
        </w:rPr>
      </w:pPr>
    </w:p>
    <w:p w:rsidR="00760997" w:rsidRPr="00D311EF" w:rsidRDefault="00760997" w:rsidP="00760997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311EF">
        <w:rPr>
          <w:rFonts w:ascii="Arial" w:hAnsi="Arial" w:cs="Arial"/>
          <w:b/>
          <w:i/>
          <w:sz w:val="16"/>
          <w:szCs w:val="16"/>
        </w:rPr>
        <w:lastRenderedPageBreak/>
        <w:t xml:space="preserve">Prihodi ustanova, korisnika Proračuna su ostvareni kako slijedi:   </w:t>
      </w:r>
    </w:p>
    <w:tbl>
      <w:tblPr>
        <w:tblW w:w="9430" w:type="dxa"/>
        <w:tblInd w:w="95" w:type="dxa"/>
        <w:tblLook w:val="04A0"/>
      </w:tblPr>
      <w:tblGrid>
        <w:gridCol w:w="2848"/>
        <w:gridCol w:w="1134"/>
        <w:gridCol w:w="928"/>
        <w:gridCol w:w="1044"/>
        <w:gridCol w:w="1514"/>
        <w:gridCol w:w="2052"/>
      </w:tblGrid>
      <w:tr w:rsidR="00760997" w:rsidRPr="00E363AE" w:rsidTr="00016FD7">
        <w:trPr>
          <w:trHeight w:val="55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KORISNIK PRORAČUNA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VLASTITI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IZ PRORAČUNA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DRUGI PRORAČUN, POMOĆI I DONACIJE</w:t>
            </w:r>
          </w:p>
        </w:tc>
      </w:tr>
      <w:tr w:rsidR="00760997" w:rsidRPr="00E363AE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ostvarenje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plan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ostvarenje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ostvarenje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ostvarenje</w:t>
            </w:r>
          </w:p>
        </w:tc>
      </w:tr>
      <w:tr w:rsidR="00760997" w:rsidRPr="00E363AE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1(2+3+4</w:t>
            </w: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43480B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4348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Gradski muzej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C43EC2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334.648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83767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184.022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83767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83767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295.068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C43EC2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43480B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43480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Gradska knjižnica Ivan Vidali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348.485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84E1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84E1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84E1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250.697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384E1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77.600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43480B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43480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 xml:space="preserve">   Dječji vrtić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1.879.970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778.796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436.822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1.364.871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78.277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43480B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43480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Centar za kulturu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513.387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193.680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F807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70.264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418.123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F8072C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Ustanova Športski objekti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762218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1.595.684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43480B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43480B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136.083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762218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1.459.129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BE20A2" w:rsidRDefault="00762218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</w:t>
            </w:r>
          </w:p>
        </w:tc>
      </w:tr>
      <w:tr w:rsidR="00760997" w:rsidRPr="00BE20A2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762218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4.672.174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663CA6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1.453.998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663CA6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690.93</w:t>
            </w:r>
            <w:r w:rsidR="00CD4523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663CA6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3.787.888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016FD7" w:rsidRDefault="00663CA6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193.349</w:t>
            </w:r>
          </w:p>
        </w:tc>
      </w:tr>
    </w:tbl>
    <w:p w:rsidR="00760997" w:rsidRDefault="00760997" w:rsidP="00760997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noProof/>
          <w:sz w:val="18"/>
          <w:szCs w:val="18"/>
          <w:lang w:eastAsia="hr-HR"/>
        </w:rPr>
      </w:pPr>
    </w:p>
    <w:p w:rsidR="00A14CB1" w:rsidRDefault="00A14CB1" w:rsidP="00760997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noProof/>
          <w:sz w:val="18"/>
          <w:szCs w:val="18"/>
          <w:lang w:eastAsia="hr-HR"/>
        </w:rPr>
      </w:pPr>
    </w:p>
    <w:p w:rsidR="00A14CB1" w:rsidRDefault="00A14CB1" w:rsidP="00760997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noProof/>
          <w:sz w:val="18"/>
          <w:szCs w:val="18"/>
          <w:lang w:eastAsia="hr-HR"/>
        </w:rPr>
      </w:pPr>
    </w:p>
    <w:p w:rsidR="00760997" w:rsidRDefault="00A14CB1" w:rsidP="00760997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noProof/>
          <w:sz w:val="18"/>
          <w:szCs w:val="18"/>
          <w:lang w:eastAsia="hr-HR"/>
        </w:rPr>
      </w:pPr>
      <w:r w:rsidRPr="00A14CB1">
        <w:rPr>
          <w:rFonts w:ascii="Arial" w:hAnsi="Arial" w:cs="Arial"/>
          <w:b/>
          <w:i/>
          <w:noProof/>
          <w:sz w:val="18"/>
          <w:szCs w:val="18"/>
          <w:lang w:eastAsia="hr-HR"/>
        </w:rPr>
        <w:drawing>
          <wp:inline distT="0" distB="0" distL="0" distR="0">
            <wp:extent cx="5430741" cy="3212327"/>
            <wp:effectExtent l="0" t="0" r="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4CB1" w:rsidRPr="00A14CB1" w:rsidRDefault="00A14CB1" w:rsidP="00760997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noProof/>
          <w:sz w:val="18"/>
          <w:szCs w:val="18"/>
          <w:lang w:eastAsia="hr-HR"/>
        </w:rPr>
      </w:pPr>
    </w:p>
    <w:p w:rsidR="00760997" w:rsidRPr="000B4F50" w:rsidRDefault="00760997" w:rsidP="00760997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311EF">
        <w:rPr>
          <w:rFonts w:ascii="Arial" w:hAnsi="Arial" w:cs="Arial"/>
          <w:b/>
          <w:i/>
          <w:sz w:val="20"/>
          <w:szCs w:val="20"/>
          <w:u w:val="single"/>
        </w:rPr>
        <w:lastRenderedPageBreak/>
        <w:t>Izvještaj o korištenju proračunske zalihe</w:t>
      </w:r>
      <w:r w:rsidRPr="000B4F50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</w:p>
    <w:p w:rsidR="00760997" w:rsidRPr="00E363AE" w:rsidRDefault="00760997" w:rsidP="00760997">
      <w:pPr>
        <w:ind w:right="57"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E363AE">
        <w:rPr>
          <w:rFonts w:ascii="Arial" w:hAnsi="Arial" w:cs="Arial"/>
          <w:sz w:val="18"/>
          <w:szCs w:val="18"/>
        </w:rPr>
        <w:t>U 201</w:t>
      </w:r>
      <w:r w:rsidR="00016FD7">
        <w:rPr>
          <w:rFonts w:ascii="Arial" w:hAnsi="Arial" w:cs="Arial"/>
          <w:sz w:val="18"/>
          <w:szCs w:val="18"/>
        </w:rPr>
        <w:t>9</w:t>
      </w:r>
      <w:r w:rsidRPr="00E363AE">
        <w:rPr>
          <w:rFonts w:ascii="Arial" w:hAnsi="Arial" w:cs="Arial"/>
          <w:sz w:val="18"/>
          <w:szCs w:val="18"/>
        </w:rPr>
        <w:t>.godini planirana je proračunska zaliha od 100.000 kuna za neplanirane i nedovoljno planirane rashode tijekom</w:t>
      </w:r>
      <w:r>
        <w:rPr>
          <w:rFonts w:ascii="Arial" w:hAnsi="Arial" w:cs="Arial"/>
          <w:sz w:val="18"/>
          <w:szCs w:val="18"/>
        </w:rPr>
        <w:t xml:space="preserve"> </w:t>
      </w:r>
      <w:r w:rsidR="00A30342">
        <w:rPr>
          <w:rFonts w:ascii="Arial" w:hAnsi="Arial" w:cs="Arial"/>
          <w:sz w:val="18"/>
          <w:szCs w:val="18"/>
        </w:rPr>
        <w:t>go</w:t>
      </w:r>
      <w:r w:rsidR="00F21237">
        <w:rPr>
          <w:rFonts w:ascii="Arial" w:hAnsi="Arial" w:cs="Arial"/>
          <w:sz w:val="18"/>
          <w:szCs w:val="18"/>
        </w:rPr>
        <w:t>dine. Ukupno je raspoređeno 50.3</w:t>
      </w:r>
      <w:r w:rsidR="00A30342">
        <w:rPr>
          <w:rFonts w:ascii="Arial" w:hAnsi="Arial" w:cs="Arial"/>
          <w:sz w:val="18"/>
          <w:szCs w:val="18"/>
        </w:rPr>
        <w:t>56,28</w:t>
      </w:r>
      <w:r w:rsidRPr="00E363AE">
        <w:rPr>
          <w:rFonts w:ascii="Arial" w:hAnsi="Arial" w:cs="Arial"/>
          <w:sz w:val="18"/>
          <w:szCs w:val="18"/>
        </w:rPr>
        <w:t xml:space="preserve"> kuna za programe koji su prikazani u tablici koja slijedi. U tablici se navodi opis aktivnosti, korisnik sredstava, iznos odobrenih sredstava, datum isplate te klasifikacijska oznaka dokumenta kojim se odobrava pojedina isplata.</w:t>
      </w:r>
      <w:r w:rsidRPr="00E363A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60997" w:rsidRPr="00E363AE" w:rsidRDefault="00760997" w:rsidP="00760997">
      <w:pPr>
        <w:tabs>
          <w:tab w:val="left" w:pos="4896"/>
        </w:tabs>
        <w:ind w:right="57"/>
        <w:rPr>
          <w:rFonts w:ascii="Arial" w:hAnsi="Arial" w:cs="Arial"/>
          <w:b/>
          <w:bCs/>
          <w:sz w:val="18"/>
          <w:szCs w:val="18"/>
        </w:rPr>
      </w:pPr>
      <w:r w:rsidRPr="00E363AE">
        <w:rPr>
          <w:rFonts w:ascii="Arial" w:hAnsi="Arial" w:cs="Arial"/>
          <w:b/>
          <w:bCs/>
          <w:sz w:val="18"/>
          <w:szCs w:val="18"/>
        </w:rPr>
        <w:t>Izvještaj o korištenju  proračunske zalihe (A210108)</w:t>
      </w:r>
      <w:r w:rsidRPr="00E363A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2254" w:type="dxa"/>
        <w:tblInd w:w="96" w:type="dxa"/>
        <w:tblLook w:val="04A0"/>
      </w:tblPr>
      <w:tblGrid>
        <w:gridCol w:w="534"/>
        <w:gridCol w:w="4046"/>
        <w:gridCol w:w="2945"/>
        <w:gridCol w:w="1311"/>
        <w:gridCol w:w="1260"/>
        <w:gridCol w:w="2158"/>
      </w:tblGrid>
      <w:tr w:rsidR="00760997" w:rsidRPr="00E363AE" w:rsidTr="00405F2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opis / projekt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iznos u kunama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isplaćeno dana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Odluka - Klasa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Župi prigodom blagoslova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Župa Sv. Marka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3D2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="003D2BF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8650B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.01.2019</w:t>
            </w: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865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402-08/1</w:t>
            </w:r>
            <w:r w:rsidR="008650B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  <w:r w:rsidRPr="00E36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-01/01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8650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Donacija za </w:t>
            </w:r>
            <w:r w:rsidR="008650B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organiziranje večeri Korčulana Zgb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Pr="00E363AE" w:rsidRDefault="008650BD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Studenti Korčule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8650B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8650B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10.01.2019</w:t>
            </w:r>
            <w:r w:rsidR="00760997"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8650B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402-03/19</w:t>
            </w:r>
            <w:r w:rsidR="00760997" w:rsidRPr="00E36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8650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Donacija </w:t>
            </w:r>
            <w:r w:rsidR="008650B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maturalnu zabavu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Pr="00E363AE" w:rsidRDefault="008650BD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Maturanti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8650B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760997"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8650BD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31.01.2019</w:t>
            </w:r>
            <w:r w:rsidR="00760997"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8650BD" w:rsidP="00865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402-03/19</w:t>
            </w:r>
            <w:r w:rsidR="00760997" w:rsidRPr="00E36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8650BD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Gastro 2019.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8650BD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Učenici natjecatelji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A14BD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A14BD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31.01.2019.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A14BD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A14BD5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 ŠD Smokvica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A14BD5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Nogometaši ŠD Smokvica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A14BD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3.544,78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A14BD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06</w:t>
            </w:r>
            <w:r w:rsidR="007609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.02.201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A14BD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402-01/19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Kupnja prometnih bojanki za djecu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EC0270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Djeca Grada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04.03.2019.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UR-190112/2019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ručak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EC0270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Vatrogasci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14.03.2019.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UR-190127/2019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EC0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sudjelovanje-Novigradsko proljeće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EC0270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Fizička osoba 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20.03.2019.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EC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</w:t>
            </w:r>
            <w:r w:rsidR="00EC0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-01/1</w:t>
            </w:r>
            <w:r w:rsidR="00EC0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A082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A08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A0827" w:rsidRDefault="00760997" w:rsidP="00EC0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A08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Donacija za </w:t>
            </w:r>
            <w:r w:rsidR="00EC0270" w:rsidRPr="00EA08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 Udruge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EC0270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Udruga Nina Koprivnica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20.03.2019.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C0270" w:rsidP="00EC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A0827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fotomonografiju Vukovar 1991.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EA0827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Udruga dragov.i veter.domov.rata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A082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01.04.2019.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A082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A0827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28.obljetnicu osnutka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EA0827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Udruga veterana 4.gard.brigade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A082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A082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08.04.2019.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EA082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E58E1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uređenje crkve u Dragama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2E58E1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Župa Sv.Ante Padovanskog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E75C6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E75C6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18.04.2019.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E75C6" w:rsidP="007E75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402-01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44EA9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Bakalar za Bonkuloviće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244EA9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KKK Bonkulovići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44EA9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44EA9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15.05.2019.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44EA9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UR-190324/2019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44EA9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organizaciju veteranskog turnira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244EA9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MNK Sv.Antun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44EA9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244EA9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31.05.2019.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244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</w:t>
            </w:r>
            <w:r w:rsidR="00244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-01/2</w:t>
            </w:r>
            <w:r w:rsidR="00244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C7060E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Majice s tiskom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C7060E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Biciklisti OŠ Petra Kanavelića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C7060E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C7060E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10.06.2019.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C7060E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UR-190427/2019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FB2A55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Ručak za susret književnika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FB2A55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Društvo književnika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FB2A5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FB2A5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11.06.2019.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FB2A55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UR-190449/2019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406121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Ručak za sudionike Erasmusa u Vela Luci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406121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Učenici srednjih škola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406121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406121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19.06.2019.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406121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UR-190452/2019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BB3AA1" w:rsidP="00BB3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75.obljet.oslobođ.Grada od fašista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BB3AA1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Udruga antIfa.boraca i antifašista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BB3AA1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BB3AA1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24.06.2019.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BB3AA1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402-03/19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Tablet NOA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Fizička osoba 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24.06.2019.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UR-190485/2019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Donacija za prikupljanje lektirnih naslova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O.Š.Orebić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24.06.2019.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0740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</w:t>
            </w:r>
            <w:r w:rsidR="00074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/1</w:t>
            </w:r>
            <w:r w:rsidR="00074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-01/1</w:t>
            </w:r>
            <w:r w:rsidR="000740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Marco Polo Art Festival-boravak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Veleposlanici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15.07.2019.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UR-190480/2019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Monografija Dalmacija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Default="000740B3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23.07.2019.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Default="000740B3" w:rsidP="000740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402-01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  <w:r w:rsidR="00760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-01/2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760997" w:rsidRPr="00E363AE" w:rsidTr="00405F2A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 k u p n o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B910B1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50.356,28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E363AE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760997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760997" w:rsidRDefault="00760997" w:rsidP="00760997">
      <w:pPr>
        <w:ind w:right="57"/>
        <w:jc w:val="both"/>
      </w:pPr>
    </w:p>
    <w:p w:rsidR="00760997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9958D1" w:rsidRDefault="009958D1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60997" w:rsidRPr="00BF5ACA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311EF">
        <w:rPr>
          <w:rFonts w:ascii="Arial" w:hAnsi="Arial" w:cs="Arial"/>
          <w:b/>
          <w:i/>
          <w:sz w:val="20"/>
          <w:szCs w:val="20"/>
          <w:u w:val="single"/>
        </w:rPr>
        <w:lastRenderedPageBreak/>
        <w:t>Izvještaj o zaduživanju i danim jamstvima u 201</w:t>
      </w:r>
      <w:r w:rsidR="009958D1" w:rsidRPr="00D311EF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Pr="00D311EF"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:rsidR="00760997" w:rsidRPr="00BF5ACA" w:rsidRDefault="00760997" w:rsidP="00760997">
      <w:pPr>
        <w:ind w:right="-322"/>
        <w:jc w:val="both"/>
        <w:rPr>
          <w:rFonts w:ascii="Arial" w:hAnsi="Arial" w:cs="Arial"/>
          <w:sz w:val="18"/>
          <w:szCs w:val="18"/>
        </w:rPr>
      </w:pPr>
      <w:r w:rsidRPr="00BF5ACA">
        <w:rPr>
          <w:rFonts w:ascii="Arial" w:hAnsi="Arial" w:cs="Arial"/>
          <w:sz w:val="18"/>
          <w:szCs w:val="18"/>
        </w:rPr>
        <w:t xml:space="preserve">Otplata dugoročnog kredita Zagrebačkoj banci d.d. izvršena je prema dospijeću te je za otplatu glavnog duga izdvojeno </w:t>
      </w:r>
      <w:r>
        <w:rPr>
          <w:rFonts w:ascii="Arial" w:hAnsi="Arial" w:cs="Arial"/>
          <w:sz w:val="18"/>
          <w:szCs w:val="18"/>
        </w:rPr>
        <w:t>305.833,35</w:t>
      </w:r>
      <w:r w:rsidRPr="00BF5ACA">
        <w:rPr>
          <w:rFonts w:ascii="Arial" w:hAnsi="Arial" w:cs="Arial"/>
          <w:sz w:val="18"/>
          <w:szCs w:val="18"/>
        </w:rPr>
        <w:t xml:space="preserve"> kuna a za kamatu </w:t>
      </w:r>
      <w:r w:rsidR="00DC14B3">
        <w:rPr>
          <w:rFonts w:ascii="Arial" w:hAnsi="Arial" w:cs="Arial"/>
          <w:sz w:val="18"/>
          <w:szCs w:val="18"/>
        </w:rPr>
        <w:t>16.202,75</w:t>
      </w:r>
      <w:r>
        <w:rPr>
          <w:rFonts w:ascii="Arial" w:hAnsi="Arial" w:cs="Arial"/>
          <w:sz w:val="18"/>
          <w:szCs w:val="18"/>
        </w:rPr>
        <w:t xml:space="preserve"> kune. Preostaje za otplatu </w:t>
      </w:r>
      <w:r w:rsidR="00DC14B3">
        <w:rPr>
          <w:rFonts w:ascii="Arial" w:hAnsi="Arial" w:cs="Arial"/>
          <w:sz w:val="18"/>
          <w:szCs w:val="18"/>
        </w:rPr>
        <w:t>1.529.167,15</w:t>
      </w:r>
      <w:r>
        <w:rPr>
          <w:rFonts w:ascii="Arial" w:hAnsi="Arial" w:cs="Arial"/>
          <w:sz w:val="18"/>
          <w:szCs w:val="18"/>
        </w:rPr>
        <w:t xml:space="preserve"> </w:t>
      </w:r>
      <w:r w:rsidRPr="00BF5ACA">
        <w:rPr>
          <w:rFonts w:ascii="Arial" w:hAnsi="Arial" w:cs="Arial"/>
          <w:sz w:val="18"/>
          <w:szCs w:val="18"/>
        </w:rPr>
        <w:t>kuna.</w:t>
      </w:r>
    </w:p>
    <w:p w:rsidR="00760997" w:rsidRPr="00BF5ACA" w:rsidRDefault="00760997" w:rsidP="00760997">
      <w:pPr>
        <w:ind w:right="-322"/>
        <w:jc w:val="both"/>
        <w:rPr>
          <w:rFonts w:ascii="Arial" w:hAnsi="Arial" w:cs="Arial"/>
          <w:sz w:val="18"/>
          <w:szCs w:val="18"/>
        </w:rPr>
      </w:pPr>
      <w:r w:rsidRPr="00BF5ACA">
        <w:rPr>
          <w:rFonts w:ascii="Arial" w:hAnsi="Arial" w:cs="Arial"/>
          <w:sz w:val="18"/>
          <w:szCs w:val="18"/>
        </w:rPr>
        <w:t xml:space="preserve">Jamstva nisu izdavana, zajmovi nisu davani. </w:t>
      </w:r>
    </w:p>
    <w:p w:rsidR="00760997" w:rsidRDefault="00760997" w:rsidP="00760997">
      <w:pPr>
        <w:ind w:right="-322"/>
        <w:jc w:val="both"/>
        <w:rPr>
          <w:rFonts w:ascii="Arial" w:hAnsi="Arial" w:cs="Arial"/>
          <w:sz w:val="18"/>
          <w:szCs w:val="18"/>
        </w:rPr>
      </w:pPr>
    </w:p>
    <w:p w:rsidR="00760997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p w:rsidR="00760997" w:rsidRPr="001003BA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  <w:r w:rsidRPr="001003BA">
        <w:rPr>
          <w:rFonts w:ascii="Arial" w:hAnsi="Arial" w:cs="Arial"/>
          <w:b/>
          <w:sz w:val="18"/>
          <w:szCs w:val="18"/>
        </w:rPr>
        <w:t>Primljeni zajmovi i otplate</w:t>
      </w:r>
    </w:p>
    <w:p w:rsidR="00760997" w:rsidRPr="001003BA" w:rsidRDefault="00760997" w:rsidP="00760997">
      <w:pPr>
        <w:spacing w:after="0"/>
        <w:rPr>
          <w:vanish/>
        </w:rPr>
      </w:pPr>
    </w:p>
    <w:tbl>
      <w:tblPr>
        <w:tblW w:w="11198" w:type="dxa"/>
        <w:tblInd w:w="817" w:type="dxa"/>
        <w:tblLook w:val="04A0"/>
      </w:tblPr>
      <w:tblGrid>
        <w:gridCol w:w="1276"/>
        <w:gridCol w:w="2268"/>
        <w:gridCol w:w="1843"/>
        <w:gridCol w:w="1984"/>
        <w:gridCol w:w="1701"/>
        <w:gridCol w:w="2126"/>
      </w:tblGrid>
      <w:tr w:rsidR="00760997" w:rsidRPr="001003BA" w:rsidTr="00405F2A">
        <w:trPr>
          <w:trHeight w:val="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7" w:rsidRPr="001003BA" w:rsidRDefault="00760997" w:rsidP="00405F2A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Naziv pravne osobe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stanje zajma  1.1.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otplate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primljeni zajmovi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A">
              <w:rPr>
                <w:rFonts w:ascii="Arial" w:hAnsi="Arial" w:cs="Arial"/>
                <w:color w:val="000000"/>
                <w:sz w:val="18"/>
                <w:szCs w:val="18"/>
              </w:rPr>
              <w:t>stanje 30.06.</w:t>
            </w:r>
          </w:p>
        </w:tc>
      </w:tr>
      <w:tr w:rsidR="00760997" w:rsidRPr="001003BA" w:rsidTr="00405F2A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Pr="001003BA" w:rsidRDefault="00760997" w:rsidP="00405F2A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Zagrebačka banka d.d.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181E64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1.835.000,50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305.833,35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181E64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1.529.167,15</w:t>
            </w:r>
          </w:p>
        </w:tc>
      </w:tr>
      <w:tr w:rsidR="00760997" w:rsidRPr="001003BA" w:rsidTr="00405F2A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Pr="001003BA" w:rsidRDefault="00760997" w:rsidP="00405F2A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2F3338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1.835.000,50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305.833,35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2F3338" w:rsidP="002F3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1.529.167,15</w:t>
            </w:r>
          </w:p>
        </w:tc>
      </w:tr>
    </w:tbl>
    <w:p w:rsidR="00760997" w:rsidRPr="00E363AE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631" w:type="dxa"/>
        <w:tblInd w:w="817" w:type="dxa"/>
        <w:tblLook w:val="04A0"/>
      </w:tblPr>
      <w:tblGrid>
        <w:gridCol w:w="1276"/>
        <w:gridCol w:w="2551"/>
        <w:gridCol w:w="1560"/>
        <w:gridCol w:w="1701"/>
        <w:gridCol w:w="1559"/>
        <w:gridCol w:w="857"/>
        <w:gridCol w:w="419"/>
        <w:gridCol w:w="1041"/>
        <w:gridCol w:w="1400"/>
        <w:gridCol w:w="1267"/>
      </w:tblGrid>
      <w:tr w:rsidR="00760997" w:rsidRPr="001003BA" w:rsidTr="00405F2A">
        <w:trPr>
          <w:trHeight w:val="240"/>
        </w:trPr>
        <w:tc>
          <w:tcPr>
            <w:tcW w:w="9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Dospjele kamate na zajmove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997" w:rsidRPr="001003BA" w:rsidTr="00405F2A">
        <w:trPr>
          <w:gridAfter w:val="3"/>
          <w:wAfter w:w="3708" w:type="dxa"/>
          <w:trHeight w:val="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Naziv pravne osobe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stanje 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dospjele kamate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plaćene kamate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A">
              <w:rPr>
                <w:rFonts w:ascii="Arial" w:hAnsi="Arial" w:cs="Arial"/>
                <w:color w:val="000000"/>
                <w:sz w:val="18"/>
                <w:szCs w:val="18"/>
              </w:rPr>
              <w:t>stanje 30.06.</w:t>
            </w:r>
          </w:p>
        </w:tc>
      </w:tr>
      <w:tr w:rsidR="00760997" w:rsidRPr="001003BA" w:rsidTr="00405F2A">
        <w:trPr>
          <w:gridAfter w:val="3"/>
          <w:wAfter w:w="3708" w:type="dxa"/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Zagrebačka banka d.d.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2F3338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2F3338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60997" w:rsidRPr="001003BA" w:rsidTr="00405F2A">
        <w:trPr>
          <w:gridAfter w:val="3"/>
          <w:wAfter w:w="3708" w:type="dxa"/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7" w:rsidRPr="001003BA" w:rsidRDefault="00760997" w:rsidP="0040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2F3338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2F3338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16.202,75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7" w:rsidRPr="001003BA" w:rsidRDefault="00760997" w:rsidP="00405F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03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760997" w:rsidRDefault="00760997" w:rsidP="00760997"/>
    <w:p w:rsidR="00760997" w:rsidRDefault="00760997" w:rsidP="00760997"/>
    <w:p w:rsidR="00760997" w:rsidRDefault="00760997" w:rsidP="00760997"/>
    <w:p w:rsidR="00760997" w:rsidRPr="00F45D3A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Ako usporedimo raspoložive tekuće prihode s izvršenim rashodima u izvještajnom razdoblju, vidimo da su rashodi za </w:t>
      </w:r>
      <w:r w:rsidR="00F45D3A">
        <w:rPr>
          <w:rFonts w:ascii="Arial" w:hAnsi="Arial" w:cs="Arial"/>
          <w:sz w:val="18"/>
          <w:szCs w:val="18"/>
        </w:rPr>
        <w:t>4.67</w:t>
      </w:r>
      <w:r w:rsidR="00895FA9">
        <w:rPr>
          <w:rFonts w:ascii="Arial" w:hAnsi="Arial" w:cs="Arial"/>
          <w:sz w:val="18"/>
          <w:szCs w:val="18"/>
        </w:rPr>
        <w:t>0</w:t>
      </w:r>
      <w:r w:rsidR="00F45D3A">
        <w:rPr>
          <w:rFonts w:ascii="Arial" w:hAnsi="Arial" w:cs="Arial"/>
          <w:sz w:val="18"/>
          <w:szCs w:val="18"/>
        </w:rPr>
        <w:t>.</w:t>
      </w:r>
      <w:r w:rsidR="00895FA9">
        <w:rPr>
          <w:rFonts w:ascii="Arial" w:hAnsi="Arial" w:cs="Arial"/>
          <w:sz w:val="18"/>
          <w:szCs w:val="18"/>
        </w:rPr>
        <w:t>766</w:t>
      </w:r>
      <w:r w:rsidR="00F45D3A">
        <w:rPr>
          <w:rFonts w:ascii="Arial" w:hAnsi="Arial" w:cs="Arial"/>
          <w:sz w:val="18"/>
          <w:szCs w:val="18"/>
        </w:rPr>
        <w:t xml:space="preserve"> kn</w:t>
      </w:r>
      <w:r w:rsidRPr="00F45D3A">
        <w:rPr>
          <w:rFonts w:ascii="Arial" w:hAnsi="Arial" w:cs="Arial"/>
          <w:sz w:val="18"/>
          <w:szCs w:val="18"/>
        </w:rPr>
        <w:t xml:space="preserve"> </w:t>
      </w:r>
      <w:r w:rsidR="00F45D3A">
        <w:rPr>
          <w:rFonts w:ascii="Arial" w:hAnsi="Arial" w:cs="Arial"/>
          <w:sz w:val="18"/>
          <w:szCs w:val="18"/>
        </w:rPr>
        <w:t>veći</w:t>
      </w:r>
      <w:r w:rsidRPr="00F45D3A">
        <w:rPr>
          <w:rFonts w:ascii="Arial" w:hAnsi="Arial" w:cs="Arial"/>
          <w:sz w:val="18"/>
          <w:szCs w:val="18"/>
        </w:rPr>
        <w:t xml:space="preserve"> od ostvarenih priho</w:t>
      </w:r>
      <w:r w:rsidR="00F45D3A">
        <w:rPr>
          <w:rFonts w:ascii="Arial" w:hAnsi="Arial" w:cs="Arial"/>
          <w:sz w:val="18"/>
          <w:szCs w:val="18"/>
        </w:rPr>
        <w:t>da dok su izdaci za 305.833 kn</w:t>
      </w:r>
      <w:r w:rsidRPr="00F45D3A">
        <w:rPr>
          <w:rFonts w:ascii="Arial" w:hAnsi="Arial" w:cs="Arial"/>
          <w:sz w:val="18"/>
          <w:szCs w:val="18"/>
        </w:rPr>
        <w:t xml:space="preserve"> veći od primitaka.</w:t>
      </w:r>
    </w:p>
    <w:p w:rsidR="00760997" w:rsidRPr="000B4F50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Raspoloživa sredstva iz prethodnih godina predstavljaju ukupni </w:t>
      </w:r>
      <w:r w:rsidRPr="00D74934">
        <w:rPr>
          <w:rFonts w:ascii="Arial" w:hAnsi="Arial" w:cs="Arial"/>
          <w:sz w:val="18"/>
          <w:szCs w:val="18"/>
        </w:rPr>
        <w:t>višak od</w:t>
      </w:r>
      <w:r w:rsidR="00D74934">
        <w:rPr>
          <w:rFonts w:ascii="Arial" w:hAnsi="Arial" w:cs="Arial"/>
          <w:sz w:val="18"/>
          <w:szCs w:val="18"/>
        </w:rPr>
        <w:t xml:space="preserve"> 2.770.028 kn</w:t>
      </w:r>
      <w:r w:rsidRPr="00F45D3A">
        <w:rPr>
          <w:rFonts w:ascii="Arial" w:hAnsi="Arial" w:cs="Arial"/>
          <w:sz w:val="18"/>
          <w:szCs w:val="18"/>
        </w:rPr>
        <w:t xml:space="preserve"> što je rezultat početnog viška Grada od 1.</w:t>
      </w:r>
      <w:r w:rsidR="005859D2">
        <w:rPr>
          <w:rFonts w:ascii="Arial" w:hAnsi="Arial" w:cs="Arial"/>
          <w:sz w:val="18"/>
          <w:szCs w:val="18"/>
        </w:rPr>
        <w:t>776.352 kn</w:t>
      </w:r>
      <w:r w:rsidRPr="00F45D3A">
        <w:rPr>
          <w:rFonts w:ascii="Arial" w:hAnsi="Arial" w:cs="Arial"/>
          <w:sz w:val="18"/>
          <w:szCs w:val="18"/>
        </w:rPr>
        <w:t xml:space="preserve"> i ukupnog viška kod ustanova korisnika Proračuna od 9</w:t>
      </w:r>
      <w:r w:rsidR="005859D2">
        <w:rPr>
          <w:rFonts w:ascii="Arial" w:hAnsi="Arial" w:cs="Arial"/>
          <w:sz w:val="18"/>
          <w:szCs w:val="18"/>
        </w:rPr>
        <w:t>93.676 kn</w:t>
      </w:r>
      <w:r w:rsidRPr="00F45D3A">
        <w:rPr>
          <w:rFonts w:ascii="Arial" w:hAnsi="Arial" w:cs="Arial"/>
          <w:sz w:val="18"/>
          <w:szCs w:val="18"/>
        </w:rPr>
        <w:t>. Ukoliko uračunamo ostvareni manjak prihoda i primitaka iz prvog polugodišta, u ovom izvještajnom razdoblju</w:t>
      </w:r>
      <w:r w:rsidRPr="000B4F50">
        <w:rPr>
          <w:rFonts w:ascii="Arial" w:hAnsi="Arial" w:cs="Arial"/>
          <w:sz w:val="18"/>
          <w:szCs w:val="18"/>
        </w:rPr>
        <w:t xml:space="preserve"> imamo rezultat od </w:t>
      </w:r>
      <w:r w:rsidR="00895FA9">
        <w:rPr>
          <w:rFonts w:ascii="Arial" w:hAnsi="Arial" w:cs="Arial"/>
          <w:sz w:val="18"/>
          <w:szCs w:val="18"/>
        </w:rPr>
        <w:t>2.206.572 kn manjka.</w:t>
      </w:r>
    </w:p>
    <w:p w:rsidR="00760997" w:rsidRPr="000B4F50" w:rsidRDefault="00760997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60997" w:rsidRDefault="00760997" w:rsidP="00760997">
      <w:pPr>
        <w:jc w:val="both"/>
        <w:rPr>
          <w:rFonts w:ascii="Arial" w:hAnsi="Arial" w:cs="Arial"/>
          <w:b/>
          <w:i/>
          <w:u w:val="single"/>
        </w:rPr>
      </w:pPr>
    </w:p>
    <w:p w:rsidR="00760997" w:rsidRDefault="00760997" w:rsidP="00760997">
      <w:pPr>
        <w:jc w:val="both"/>
        <w:rPr>
          <w:rFonts w:ascii="Arial" w:hAnsi="Arial" w:cs="Arial"/>
          <w:b/>
          <w:i/>
          <w:u w:val="single"/>
        </w:rPr>
      </w:pPr>
    </w:p>
    <w:p w:rsidR="009958D1" w:rsidRDefault="009958D1" w:rsidP="00760997">
      <w:pPr>
        <w:jc w:val="both"/>
        <w:rPr>
          <w:rFonts w:ascii="Arial" w:hAnsi="Arial" w:cs="Arial"/>
          <w:b/>
          <w:i/>
          <w:u w:val="single"/>
        </w:rPr>
      </w:pPr>
    </w:p>
    <w:p w:rsidR="00760997" w:rsidRPr="006D13C7" w:rsidRDefault="00760997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  <w:r w:rsidRPr="006D13C7">
        <w:rPr>
          <w:rFonts w:ascii="Arial" w:hAnsi="Arial" w:cs="Arial"/>
          <w:b/>
          <w:i/>
          <w:u w:val="single"/>
        </w:rPr>
        <w:lastRenderedPageBreak/>
        <w:t>Stanje nenaplaćenih potraživanja</w:t>
      </w:r>
    </w:p>
    <w:p w:rsidR="00760997" w:rsidRPr="006D13C7" w:rsidRDefault="00671E56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 w:rsidRPr="006D13C7">
        <w:rPr>
          <w:rFonts w:ascii="Arial" w:hAnsi="Arial" w:cs="Arial"/>
          <w:sz w:val="18"/>
          <w:szCs w:val="18"/>
        </w:rPr>
        <w:t>Na dan 30.06.2019</w:t>
      </w:r>
      <w:r w:rsidR="00760997" w:rsidRPr="006D13C7">
        <w:rPr>
          <w:rFonts w:ascii="Arial" w:hAnsi="Arial" w:cs="Arial"/>
          <w:sz w:val="18"/>
          <w:szCs w:val="18"/>
        </w:rPr>
        <w:t xml:space="preserve">.godine ukupan iznos nenaplaćenih potraživanja Proračuna iznosi </w:t>
      </w:r>
      <w:r w:rsidR="006D13C7">
        <w:rPr>
          <w:rFonts w:ascii="Arial" w:hAnsi="Arial" w:cs="Arial"/>
          <w:sz w:val="18"/>
          <w:szCs w:val="18"/>
        </w:rPr>
        <w:t>10.695.895</w:t>
      </w:r>
      <w:r w:rsidR="00760997" w:rsidRPr="006D13C7">
        <w:rPr>
          <w:rFonts w:ascii="Arial" w:hAnsi="Arial" w:cs="Arial"/>
          <w:sz w:val="18"/>
          <w:szCs w:val="18"/>
        </w:rPr>
        <w:t>. Većina iznosa je u zastari prava na naplatu što će se postupno utvrđivati i otpisivati u narednom razdoblju.</w:t>
      </w:r>
    </w:p>
    <w:p w:rsidR="00760997" w:rsidRPr="006D13C7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:rsidR="00760997" w:rsidRPr="006D13C7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6D13C7">
        <w:rPr>
          <w:rFonts w:ascii="Arial" w:hAnsi="Arial" w:cs="Arial"/>
          <w:b/>
          <w:i/>
          <w:u w:val="single"/>
        </w:rPr>
        <w:t>Stanje nepodmirenih dospjelih obveza</w:t>
      </w:r>
    </w:p>
    <w:p w:rsidR="00760997" w:rsidRPr="006D13C7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 w:rsidRPr="006D13C7">
        <w:rPr>
          <w:rFonts w:ascii="Arial" w:hAnsi="Arial" w:cs="Arial"/>
          <w:sz w:val="18"/>
          <w:szCs w:val="18"/>
        </w:rPr>
        <w:t>Nepodmirene dospjele obveze Proračuna n</w:t>
      </w:r>
      <w:r w:rsidR="006D13C7">
        <w:rPr>
          <w:rFonts w:ascii="Arial" w:hAnsi="Arial" w:cs="Arial"/>
          <w:sz w:val="18"/>
          <w:szCs w:val="18"/>
        </w:rPr>
        <w:t>a dan 30.06.2019.godine iznose 718.602 kn</w:t>
      </w:r>
      <w:r w:rsidRPr="006D13C7">
        <w:rPr>
          <w:rFonts w:ascii="Arial" w:hAnsi="Arial" w:cs="Arial"/>
          <w:sz w:val="18"/>
          <w:szCs w:val="18"/>
        </w:rPr>
        <w:t>.</w:t>
      </w:r>
    </w:p>
    <w:p w:rsidR="00760997" w:rsidRPr="006D13C7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:rsidR="00760997" w:rsidRPr="006D13C7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6D13C7">
        <w:rPr>
          <w:rFonts w:ascii="Arial" w:hAnsi="Arial" w:cs="Arial"/>
          <w:b/>
          <w:i/>
          <w:u w:val="single"/>
        </w:rPr>
        <w:t>Stanje potencijalnih obveza po osnovi sudskih i ostalih postupaka</w:t>
      </w:r>
    </w:p>
    <w:p w:rsidR="00926F53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 w:rsidRPr="006D13C7">
        <w:rPr>
          <w:rFonts w:ascii="Arial" w:hAnsi="Arial" w:cs="Arial"/>
          <w:sz w:val="18"/>
          <w:szCs w:val="18"/>
        </w:rPr>
        <w:t xml:space="preserve">Stanje potencijalnih obaveza po osnovi </w:t>
      </w:r>
      <w:r w:rsidR="00AB0796">
        <w:rPr>
          <w:rFonts w:ascii="Arial" w:hAnsi="Arial" w:cs="Arial"/>
          <w:sz w:val="18"/>
          <w:szCs w:val="18"/>
        </w:rPr>
        <w:t>upravnog spora</w:t>
      </w:r>
      <w:r w:rsidRPr="006D13C7">
        <w:rPr>
          <w:rFonts w:ascii="Arial" w:hAnsi="Arial" w:cs="Arial"/>
          <w:sz w:val="18"/>
          <w:szCs w:val="18"/>
        </w:rPr>
        <w:t xml:space="preserve"> iznosi 7.36</w:t>
      </w:r>
      <w:r w:rsidR="00AB0796">
        <w:rPr>
          <w:rFonts w:ascii="Arial" w:hAnsi="Arial" w:cs="Arial"/>
          <w:sz w:val="18"/>
          <w:szCs w:val="18"/>
        </w:rPr>
        <w:t>4</w:t>
      </w:r>
      <w:r w:rsidRPr="006D13C7">
        <w:rPr>
          <w:rFonts w:ascii="Arial" w:hAnsi="Arial" w:cs="Arial"/>
          <w:sz w:val="18"/>
          <w:szCs w:val="18"/>
        </w:rPr>
        <w:t>.</w:t>
      </w:r>
      <w:r w:rsidR="00AB0796">
        <w:rPr>
          <w:rFonts w:ascii="Arial" w:hAnsi="Arial" w:cs="Arial"/>
          <w:sz w:val="18"/>
          <w:szCs w:val="18"/>
        </w:rPr>
        <w:t>545</w:t>
      </w:r>
      <w:r w:rsidRPr="006D13C7">
        <w:rPr>
          <w:rFonts w:ascii="Arial" w:hAnsi="Arial" w:cs="Arial"/>
          <w:sz w:val="18"/>
          <w:szCs w:val="18"/>
        </w:rPr>
        <w:t xml:space="preserve"> k</w:t>
      </w:r>
      <w:r w:rsidR="00AB0796">
        <w:rPr>
          <w:rFonts w:ascii="Arial" w:hAnsi="Arial" w:cs="Arial"/>
          <w:sz w:val="18"/>
          <w:szCs w:val="18"/>
        </w:rPr>
        <w:t>n</w:t>
      </w:r>
      <w:r w:rsidRPr="006D13C7">
        <w:rPr>
          <w:rFonts w:ascii="Arial" w:hAnsi="Arial" w:cs="Arial"/>
          <w:sz w:val="18"/>
          <w:szCs w:val="18"/>
        </w:rPr>
        <w:t xml:space="preserve"> (bez kamata i troškova postupka) i odnosi se na naknadu za oduzete nekretnine označene kao čest.zem. 655/17, 655/147 i 655/148 k.o.Korčula (kamp Kalac).</w:t>
      </w:r>
    </w:p>
    <w:p w:rsidR="00926F53" w:rsidRPr="006D13C7" w:rsidRDefault="00926F53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Stanje potencijalnih </w:t>
      </w:r>
      <w:r w:rsidR="001F78B6">
        <w:rPr>
          <w:rFonts w:ascii="Arial" w:hAnsi="Arial" w:cs="Arial"/>
          <w:sz w:val="18"/>
          <w:szCs w:val="18"/>
        </w:rPr>
        <w:t>obaveza po osnovi sudski</w:t>
      </w:r>
      <w:r>
        <w:rPr>
          <w:rFonts w:ascii="Arial" w:hAnsi="Arial" w:cs="Arial"/>
          <w:sz w:val="18"/>
          <w:szCs w:val="18"/>
        </w:rPr>
        <w:t>h sporova iznosi 187.002 kn (bez kamata i troškova postupka) i odnosi se na utvrđivanje prava vlasništva u predmetnima 6 Fizičkih osoba.</w:t>
      </w:r>
    </w:p>
    <w:p w:rsidR="00760997" w:rsidRPr="006D13C7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</w:p>
    <w:p w:rsidR="00760997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6D13C7">
        <w:rPr>
          <w:rFonts w:ascii="Arial" w:hAnsi="Arial" w:cs="Arial"/>
          <w:b/>
          <w:i/>
          <w:u w:val="single"/>
        </w:rPr>
        <w:t>Izv</w:t>
      </w:r>
      <w:r>
        <w:rPr>
          <w:rFonts w:ascii="Arial" w:hAnsi="Arial" w:cs="Arial"/>
          <w:b/>
          <w:i/>
          <w:u w:val="single"/>
        </w:rPr>
        <w:t>ještaj o provedbi plana razvojnih programa</w:t>
      </w:r>
    </w:p>
    <w:p w:rsidR="00760997" w:rsidRPr="00E241DC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ovom izvještajnom razdoblju, ukupno je utrošeno </w:t>
      </w:r>
      <w:r w:rsidR="00A92EA0">
        <w:rPr>
          <w:rFonts w:ascii="Arial" w:hAnsi="Arial" w:cs="Arial"/>
          <w:sz w:val="18"/>
          <w:szCs w:val="18"/>
        </w:rPr>
        <w:t>6.283.905</w:t>
      </w:r>
      <w:r w:rsidR="00A3782A">
        <w:rPr>
          <w:rFonts w:ascii="Arial" w:hAnsi="Arial" w:cs="Arial"/>
          <w:sz w:val="18"/>
          <w:szCs w:val="18"/>
        </w:rPr>
        <w:t xml:space="preserve"> kn </w:t>
      </w:r>
      <w:r>
        <w:rPr>
          <w:rFonts w:ascii="Arial" w:hAnsi="Arial" w:cs="Arial"/>
          <w:sz w:val="18"/>
          <w:szCs w:val="18"/>
        </w:rPr>
        <w:t xml:space="preserve">na provedbu razvojnih programa i to za: rekonstrukciju i opremanje palače Ismaeli-Gabrielis </w:t>
      </w:r>
      <w:r w:rsidR="00A92EA0">
        <w:rPr>
          <w:rFonts w:ascii="Arial" w:hAnsi="Arial" w:cs="Arial"/>
          <w:sz w:val="18"/>
          <w:szCs w:val="18"/>
        </w:rPr>
        <w:t xml:space="preserve">2.279.339 </w:t>
      </w:r>
      <w:r w:rsidR="00A05E41">
        <w:rPr>
          <w:rFonts w:ascii="Arial" w:hAnsi="Arial" w:cs="Arial"/>
          <w:sz w:val="18"/>
          <w:szCs w:val="18"/>
        </w:rPr>
        <w:t>kn</w:t>
      </w:r>
      <w:r>
        <w:rPr>
          <w:rFonts w:ascii="Arial" w:hAnsi="Arial" w:cs="Arial"/>
          <w:sz w:val="18"/>
          <w:szCs w:val="18"/>
        </w:rPr>
        <w:t xml:space="preserve">, </w:t>
      </w:r>
      <w:r w:rsidR="00A3782A">
        <w:rPr>
          <w:rFonts w:ascii="Arial" w:hAnsi="Arial" w:cs="Arial"/>
          <w:sz w:val="18"/>
          <w:szCs w:val="18"/>
        </w:rPr>
        <w:t>uređenje šetališta Tina Ujevića 1.804.</w:t>
      </w:r>
      <w:r w:rsidR="00A92EA0">
        <w:rPr>
          <w:rFonts w:ascii="Arial" w:hAnsi="Arial" w:cs="Arial"/>
          <w:sz w:val="18"/>
          <w:szCs w:val="18"/>
        </w:rPr>
        <w:t>804</w:t>
      </w:r>
      <w:r w:rsidR="00A3782A">
        <w:rPr>
          <w:rFonts w:ascii="Arial" w:hAnsi="Arial" w:cs="Arial"/>
          <w:sz w:val="18"/>
          <w:szCs w:val="18"/>
        </w:rPr>
        <w:t xml:space="preserve"> kn, obnovu kuće Marka Pola 7</w:t>
      </w:r>
      <w:r w:rsidR="00A92EA0">
        <w:rPr>
          <w:rFonts w:ascii="Arial" w:hAnsi="Arial" w:cs="Arial"/>
          <w:sz w:val="18"/>
          <w:szCs w:val="18"/>
        </w:rPr>
        <w:t>7</w:t>
      </w:r>
      <w:r w:rsidR="00A3782A">
        <w:rPr>
          <w:rFonts w:ascii="Arial" w:hAnsi="Arial" w:cs="Arial"/>
          <w:sz w:val="18"/>
          <w:szCs w:val="18"/>
        </w:rPr>
        <w:t>2.</w:t>
      </w:r>
      <w:r w:rsidR="00A92EA0">
        <w:rPr>
          <w:rFonts w:ascii="Arial" w:hAnsi="Arial" w:cs="Arial"/>
          <w:sz w:val="18"/>
          <w:szCs w:val="18"/>
        </w:rPr>
        <w:t>521</w:t>
      </w:r>
      <w:r w:rsidR="00A3782A">
        <w:rPr>
          <w:rFonts w:ascii="Arial" w:hAnsi="Arial" w:cs="Arial"/>
          <w:sz w:val="18"/>
          <w:szCs w:val="18"/>
        </w:rPr>
        <w:t xml:space="preserve"> kn, izradu projektne dokumentacije i troškove nadzora za projekte Grada 472.248 kn, programe gardskih kotara i mjesnih odbora 431.186 kn,</w:t>
      </w:r>
      <w:r w:rsidR="00A3782A" w:rsidRPr="00A3782A">
        <w:rPr>
          <w:rFonts w:ascii="Arial" w:hAnsi="Arial" w:cs="Arial"/>
          <w:sz w:val="18"/>
          <w:szCs w:val="18"/>
        </w:rPr>
        <w:t xml:space="preserve"> </w:t>
      </w:r>
      <w:r w:rsidR="00A3782A">
        <w:rPr>
          <w:rFonts w:ascii="Arial" w:hAnsi="Arial" w:cs="Arial"/>
          <w:sz w:val="18"/>
          <w:szCs w:val="18"/>
        </w:rPr>
        <w:t>revitalizaciju obrambenih utvrda Grada Korčule 349.669</w:t>
      </w:r>
      <w:r w:rsidR="006D13C7">
        <w:rPr>
          <w:rFonts w:ascii="Arial" w:hAnsi="Arial" w:cs="Arial"/>
          <w:sz w:val="18"/>
          <w:szCs w:val="18"/>
        </w:rPr>
        <w:t xml:space="preserve"> </w:t>
      </w:r>
      <w:r w:rsidR="00A3782A">
        <w:rPr>
          <w:rFonts w:ascii="Arial" w:hAnsi="Arial" w:cs="Arial"/>
          <w:sz w:val="18"/>
          <w:szCs w:val="18"/>
        </w:rPr>
        <w:t xml:space="preserve">kn,izradu planske dokumentacije 148.188 kn, </w:t>
      </w:r>
      <w:r>
        <w:rPr>
          <w:rFonts w:ascii="Arial" w:hAnsi="Arial" w:cs="Arial"/>
          <w:sz w:val="18"/>
          <w:szCs w:val="18"/>
        </w:rPr>
        <w:t xml:space="preserve">sufinanciranje kapitalnih projekata od interesa za Grad </w:t>
      </w:r>
      <w:r w:rsidR="00A3782A">
        <w:rPr>
          <w:rFonts w:ascii="Arial" w:hAnsi="Arial" w:cs="Arial"/>
          <w:sz w:val="18"/>
          <w:szCs w:val="18"/>
        </w:rPr>
        <w:t>13.750 kn</w:t>
      </w:r>
      <w:r>
        <w:rPr>
          <w:rFonts w:ascii="Arial" w:hAnsi="Arial" w:cs="Arial"/>
          <w:sz w:val="18"/>
          <w:szCs w:val="18"/>
        </w:rPr>
        <w:t xml:space="preserve"> i uređen</w:t>
      </w:r>
      <w:r w:rsidR="00A3782A">
        <w:rPr>
          <w:rFonts w:ascii="Arial" w:hAnsi="Arial" w:cs="Arial"/>
          <w:sz w:val="18"/>
          <w:szCs w:val="18"/>
        </w:rPr>
        <w:t>je nerazvrstanih cesta i ulica 12.200 kn</w:t>
      </w:r>
      <w:r>
        <w:rPr>
          <w:rFonts w:ascii="Arial" w:hAnsi="Arial" w:cs="Arial"/>
          <w:sz w:val="18"/>
          <w:szCs w:val="18"/>
        </w:rPr>
        <w:t>.</w:t>
      </w:r>
    </w:p>
    <w:p w:rsidR="00760997" w:rsidRPr="00873C05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:rsidR="00760997" w:rsidRDefault="00760997" w:rsidP="00926F53">
      <w:pPr>
        <w:spacing w:line="240" w:lineRule="auto"/>
      </w:pPr>
    </w:p>
    <w:p w:rsidR="00760997" w:rsidRDefault="00760997" w:rsidP="00760997"/>
    <w:p w:rsidR="00760997" w:rsidRDefault="00760997" w:rsidP="00760997"/>
    <w:p w:rsidR="00760997" w:rsidRDefault="00760997" w:rsidP="00760997"/>
    <w:p w:rsidR="00760997" w:rsidRDefault="00760997" w:rsidP="00760997"/>
    <w:p w:rsidR="00760997" w:rsidRDefault="00760997" w:rsidP="00760997"/>
    <w:p w:rsidR="00760997" w:rsidRDefault="00760997" w:rsidP="00760997"/>
    <w:p w:rsidR="00760997" w:rsidRDefault="00760997" w:rsidP="00760997"/>
    <w:p w:rsidR="001A631C" w:rsidRDefault="001A631C"/>
    <w:sectPr w:rsidR="001A631C" w:rsidSect="00405F2A">
      <w:footerReference w:type="default" r:id="rId11"/>
      <w:pgSz w:w="15840" w:h="12240" w:orient="landscape"/>
      <w:pgMar w:top="1418" w:right="1418" w:bottom="680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00" w:rsidRDefault="00E36000" w:rsidP="00E86DF3">
      <w:pPr>
        <w:spacing w:after="0" w:line="240" w:lineRule="auto"/>
      </w:pPr>
      <w:r>
        <w:separator/>
      </w:r>
    </w:p>
  </w:endnote>
  <w:endnote w:type="continuationSeparator" w:id="1">
    <w:p w:rsidR="00E36000" w:rsidRDefault="00E36000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3094"/>
      <w:docPartObj>
        <w:docPartGallery w:val="Page Numbers (Bottom of Page)"/>
        <w:docPartUnique/>
      </w:docPartObj>
    </w:sdtPr>
    <w:sdtContent>
      <w:p w:rsidR="005859D2" w:rsidRDefault="00C26FFB">
        <w:pPr>
          <w:pStyle w:val="Footer"/>
          <w:jc w:val="right"/>
        </w:pPr>
        <w:fldSimple w:instr=" PAGE   \* MERGEFORMAT ">
          <w:r w:rsidR="00D24C08">
            <w:rPr>
              <w:noProof/>
            </w:rPr>
            <w:t>8</w:t>
          </w:r>
        </w:fldSimple>
      </w:p>
    </w:sdtContent>
  </w:sdt>
  <w:p w:rsidR="005859D2" w:rsidRDefault="00585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00" w:rsidRDefault="00E36000" w:rsidP="00E86DF3">
      <w:pPr>
        <w:spacing w:after="0" w:line="240" w:lineRule="auto"/>
      </w:pPr>
      <w:r>
        <w:separator/>
      </w:r>
    </w:p>
  </w:footnote>
  <w:footnote w:type="continuationSeparator" w:id="1">
    <w:p w:rsidR="00E36000" w:rsidRDefault="00E36000" w:rsidP="00E86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997"/>
    <w:rsid w:val="00016FD7"/>
    <w:rsid w:val="00036AC9"/>
    <w:rsid w:val="000740B3"/>
    <w:rsid w:val="001460CC"/>
    <w:rsid w:val="00181E64"/>
    <w:rsid w:val="00181ECE"/>
    <w:rsid w:val="001A631C"/>
    <w:rsid w:val="001C34C5"/>
    <w:rsid w:val="001C5AC8"/>
    <w:rsid w:val="001F78B6"/>
    <w:rsid w:val="002379A6"/>
    <w:rsid w:val="00244EA9"/>
    <w:rsid w:val="00286202"/>
    <w:rsid w:val="002E020F"/>
    <w:rsid w:val="002E1181"/>
    <w:rsid w:val="002E58E1"/>
    <w:rsid w:val="002F2993"/>
    <w:rsid w:val="002F3338"/>
    <w:rsid w:val="00310690"/>
    <w:rsid w:val="00323F1D"/>
    <w:rsid w:val="003672B7"/>
    <w:rsid w:val="00375523"/>
    <w:rsid w:val="00384E13"/>
    <w:rsid w:val="003D2BFC"/>
    <w:rsid w:val="003D634A"/>
    <w:rsid w:val="003F6EE6"/>
    <w:rsid w:val="00405F2A"/>
    <w:rsid w:val="00406121"/>
    <w:rsid w:val="00412ED3"/>
    <w:rsid w:val="0043480B"/>
    <w:rsid w:val="004A2232"/>
    <w:rsid w:val="004A2A59"/>
    <w:rsid w:val="004A6BC3"/>
    <w:rsid w:val="004D336E"/>
    <w:rsid w:val="00547F64"/>
    <w:rsid w:val="005859D2"/>
    <w:rsid w:val="0064123B"/>
    <w:rsid w:val="00663CA6"/>
    <w:rsid w:val="00671E56"/>
    <w:rsid w:val="006861E6"/>
    <w:rsid w:val="006A7B40"/>
    <w:rsid w:val="006B2C6D"/>
    <w:rsid w:val="006B4F38"/>
    <w:rsid w:val="006C43AF"/>
    <w:rsid w:val="006C4A82"/>
    <w:rsid w:val="006D13C7"/>
    <w:rsid w:val="006F51F1"/>
    <w:rsid w:val="00760997"/>
    <w:rsid w:val="00762218"/>
    <w:rsid w:val="007E75C6"/>
    <w:rsid w:val="007F57CA"/>
    <w:rsid w:val="0083767D"/>
    <w:rsid w:val="00842EFC"/>
    <w:rsid w:val="00844AEA"/>
    <w:rsid w:val="008650BD"/>
    <w:rsid w:val="00881D01"/>
    <w:rsid w:val="008826B2"/>
    <w:rsid w:val="00895FA9"/>
    <w:rsid w:val="00905760"/>
    <w:rsid w:val="009101EE"/>
    <w:rsid w:val="0091527B"/>
    <w:rsid w:val="00926F53"/>
    <w:rsid w:val="00942953"/>
    <w:rsid w:val="0095024E"/>
    <w:rsid w:val="009555AD"/>
    <w:rsid w:val="009958D1"/>
    <w:rsid w:val="009B4F73"/>
    <w:rsid w:val="009F782E"/>
    <w:rsid w:val="00A05E41"/>
    <w:rsid w:val="00A10159"/>
    <w:rsid w:val="00A10B42"/>
    <w:rsid w:val="00A14BD5"/>
    <w:rsid w:val="00A14CB1"/>
    <w:rsid w:val="00A30342"/>
    <w:rsid w:val="00A3782A"/>
    <w:rsid w:val="00A83089"/>
    <w:rsid w:val="00A92EA0"/>
    <w:rsid w:val="00AA01FB"/>
    <w:rsid w:val="00AB0796"/>
    <w:rsid w:val="00AD1511"/>
    <w:rsid w:val="00AF3D5F"/>
    <w:rsid w:val="00B04CBF"/>
    <w:rsid w:val="00B910B1"/>
    <w:rsid w:val="00BB3AA1"/>
    <w:rsid w:val="00BD4D46"/>
    <w:rsid w:val="00BF5577"/>
    <w:rsid w:val="00C07DE0"/>
    <w:rsid w:val="00C26FFB"/>
    <w:rsid w:val="00C43EC2"/>
    <w:rsid w:val="00C50FB8"/>
    <w:rsid w:val="00C7060E"/>
    <w:rsid w:val="00C7089C"/>
    <w:rsid w:val="00CD4523"/>
    <w:rsid w:val="00D15F0F"/>
    <w:rsid w:val="00D24C08"/>
    <w:rsid w:val="00D311EF"/>
    <w:rsid w:val="00D379C5"/>
    <w:rsid w:val="00D70EB7"/>
    <w:rsid w:val="00D74934"/>
    <w:rsid w:val="00D774F0"/>
    <w:rsid w:val="00D90D9F"/>
    <w:rsid w:val="00DC14B3"/>
    <w:rsid w:val="00DC57C7"/>
    <w:rsid w:val="00DE0C2F"/>
    <w:rsid w:val="00DF6253"/>
    <w:rsid w:val="00E36000"/>
    <w:rsid w:val="00E506ED"/>
    <w:rsid w:val="00E5349F"/>
    <w:rsid w:val="00E86DF3"/>
    <w:rsid w:val="00EA0827"/>
    <w:rsid w:val="00EA3286"/>
    <w:rsid w:val="00EC0270"/>
    <w:rsid w:val="00F06AD4"/>
    <w:rsid w:val="00F21237"/>
    <w:rsid w:val="00F32D8B"/>
    <w:rsid w:val="00F45D3A"/>
    <w:rsid w:val="00F8072C"/>
    <w:rsid w:val="00FB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mic\Documents\MOJ%20POSAO%20BERNARDA\PRORACUN\IZVR&#352;ENJE%20PRORA&#268;UNA%2019\polugodi&#353;nji%2019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mic\Documents\MOJ%20POSAO%20BERNARDA\PRORACUN\IZVR&#352;ENJE%20PRORA&#268;UNA%2019\polugodi&#353;nji%2019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mic\Documents\MOJ%20POSAO%20BERNARDA\PRORACUN\IZVR&#352;ENJE%20PRORA&#268;UNA%2019\polugodi&#353;nji%2019\Grafiko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mic\Documents\MOJ%20POSAO%20BERNARDA\PRORACUN\IZVR&#352;ENJE%20PRORA&#268;UNA%2019\polugodi&#353;nji%2019\Grafiko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tomic\Documents\MOJ%20POSAO%20BERNARDA\PRORACUN\IZVR&#352;ENJE%20PRORA&#268;UNA%2019\polugodi&#353;nji%2019\Grafiko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8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dLbls>
            <c:dLbl>
              <c:idx val="0"/>
              <c:layout>
                <c:manualLayout>
                  <c:x val="8.0321234341312209E-3"/>
                  <c:y val="-1.564945612594879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877934735113856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19092385763285E-2"/>
                </c:manualLayout>
              </c:layout>
              <c:showVal val="1"/>
            </c:dLbl>
            <c:dLbl>
              <c:idx val="3"/>
              <c:layout>
                <c:manualLayout>
                  <c:x val="2.0080308585328261E-3"/>
                  <c:y val="-1.8779347351138561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2.19092385763285E-2"/>
                </c:manualLayout>
              </c:layout>
              <c:showVal val="1"/>
            </c:dLbl>
            <c:dLbl>
              <c:idx val="5"/>
              <c:layout>
                <c:manualLayout>
                  <c:x val="8.0321234341312209E-3"/>
                  <c:y val="-1.8779347351138561E-2"/>
                </c:manualLayout>
              </c:layout>
              <c:showVal val="1"/>
            </c:dLbl>
            <c:numFmt formatCode="###" sourceLinked="0"/>
            <c:txPr>
              <a:bodyPr/>
              <a:lstStyle/>
              <a:p>
                <a:pPr>
                  <a:defRPr b="1" i="1"/>
                </a:pPr>
                <a:endParaRPr lang="sr-Latn-CS"/>
              </a:p>
            </c:txPr>
            <c:showVal val="1"/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60217472</c:v>
                </c:pt>
                <c:pt idx="1">
                  <c:v>3000000</c:v>
                </c:pt>
                <c:pt idx="2">
                  <c:v>23425982</c:v>
                </c:pt>
                <c:pt idx="3">
                  <c:v>48987950</c:v>
                </c:pt>
                <c:pt idx="4">
                  <c:v>734000</c:v>
                </c:pt>
                <c:pt idx="5">
                  <c:v>7500000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5"/>
            </a:solidFill>
          </c:spPr>
          <c:dLbls>
            <c:dLbl>
              <c:idx val="0"/>
              <c:layout>
                <c:manualLayout>
                  <c:x val="2.2088339443860995E-2"/>
                  <c:y val="-2.190923857632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1430</a:t>
                    </a:r>
                    <a:r>
                      <a:rPr lang="hr-H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0321234341312209E-3"/>
                  <c:y val="-1.8779347351138561E-2"/>
                </c:manualLayout>
              </c:layout>
              <c:showVal val="1"/>
            </c:dLbl>
            <c:dLbl>
              <c:idx val="2"/>
              <c:layout>
                <c:manualLayout>
                  <c:x val="2.0080308585328242E-2"/>
                  <c:y val="-2.5039129801518092E-2"/>
                </c:manualLayout>
              </c:layout>
              <c:showVal val="1"/>
            </c:dLbl>
            <c:dLbl>
              <c:idx val="3"/>
              <c:layout>
                <c:manualLayout>
                  <c:x val="2.0080308585328242E-2"/>
                  <c:y val="-1.8779347351138561E-2"/>
                </c:manualLayout>
              </c:layout>
              <c:showVal val="1"/>
            </c:dLbl>
            <c:dLbl>
              <c:idx val="4"/>
              <c:layout>
                <c:manualLayout>
                  <c:x val="6.0240925755984075E-3"/>
                  <c:y val="-1.2519564900759034E-2"/>
                </c:manualLayout>
              </c:layout>
              <c:showVal val="1"/>
            </c:dLbl>
            <c:numFmt formatCode="###" sourceLinked="0"/>
            <c:txPr>
              <a:bodyPr/>
              <a:lstStyle/>
              <a:p>
                <a:pPr>
                  <a:defRPr b="1" i="1"/>
                </a:pPr>
                <a:endParaRPr lang="sr-Latn-CS"/>
              </a:p>
            </c:txPr>
            <c:showVal val="1"/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14301431</c:v>
                </c:pt>
                <c:pt idx="1">
                  <c:v>1570585</c:v>
                </c:pt>
                <c:pt idx="2">
                  <c:v>10281415</c:v>
                </c:pt>
                <c:pt idx="3">
                  <c:v>10262118</c:v>
                </c:pt>
                <c:pt idx="4">
                  <c:v>305833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gapWidth val="35"/>
        <c:gapDepth val="0"/>
        <c:shape val="box"/>
        <c:axId val="100738176"/>
        <c:axId val="100739712"/>
        <c:axId val="0"/>
      </c:bar3DChart>
      <c:catAx>
        <c:axId val="100738176"/>
        <c:scaling>
          <c:orientation val="minMax"/>
        </c:scaling>
        <c:axPos val="b"/>
        <c:numFmt formatCode="###" sourceLinked="0"/>
        <c:majorTickMark val="none"/>
        <c:tickLblPos val="nextTo"/>
        <c:txPr>
          <a:bodyPr/>
          <a:lstStyle/>
          <a:p>
            <a:pPr>
              <a:defRPr b="1"/>
            </a:pPr>
            <a:endParaRPr lang="sr-Latn-CS"/>
          </a:p>
        </c:txPr>
        <c:crossAx val="100739712"/>
        <c:crossesAt val="0"/>
        <c:lblAlgn val="ctr"/>
        <c:lblOffset val="100"/>
      </c:catAx>
      <c:valAx>
        <c:axId val="100739712"/>
        <c:scaling>
          <c:orientation val="minMax"/>
        </c:scaling>
        <c:axPos val="l"/>
        <c:numFmt formatCode="0" sourceLinked="0"/>
        <c:majorTickMark val="none"/>
        <c:tickLblPos val="nextTo"/>
        <c:crossAx val="10073817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</c:dispUnitsLbl>
        </c:dispUnits>
      </c:valAx>
    </c:plotArea>
    <c:legend>
      <c:legendPos val="t"/>
      <c:txPr>
        <a:bodyPr/>
        <a:lstStyle/>
        <a:p>
          <a:pPr>
            <a:defRPr b="1"/>
          </a:pPr>
          <a:endParaRPr lang="sr-Latn-CS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UKUPNI PRIHODI PRORAČUNA</a:t>
            </a:r>
            <a:r>
              <a:rPr lang="hr-HR" sz="1200" i="1"/>
              <a:t> PO SKUPINAMA</a:t>
            </a:r>
            <a:endParaRPr lang="en-US" sz="1200" i="1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</c:spPr>
          <c:dLbls>
            <c:dLbl>
              <c:idx val="4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sz="800" b="0">
                      <a:solidFill>
                        <a:sysClr val="windowText" lastClr="000000"/>
                      </a:solidFill>
                    </a:defRPr>
                  </a:pPr>
                  <a:endParaRPr lang="sr-Latn-CS"/>
                </a:p>
              </c:txPr>
            </c:dLbl>
            <c:dLbl>
              <c:idx val="5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sz="800" b="0">
                      <a:solidFill>
                        <a:sysClr val="windowText" lastClr="000000"/>
                      </a:solidFill>
                    </a:defRPr>
                  </a:pPr>
                  <a:endParaRPr lang="sr-Latn-CS"/>
                </a:p>
              </c:txPr>
            </c:dLbl>
            <c:dLbl>
              <c:idx val="6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sz="800"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CS"/>
                </a:p>
              </c:txPr>
            </c:dLbl>
            <c:spPr>
              <a:effectLst>
                <a:innerShdw blurRad="63500" dist="50800" dir="81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sz="800" b="0">
                    <a:solidFill>
                      <a:schemeClr val="accent2">
                        <a:lumMod val="20000"/>
                        <a:lumOff val="80000"/>
                      </a:schemeClr>
                    </a:solidFill>
                  </a:defRPr>
                </a:pPr>
                <a:endParaRPr lang="sr-Latn-CS"/>
              </a:p>
            </c:txPr>
            <c:showPercent val="1"/>
            <c:showLeaderLines val="1"/>
          </c:dLbls>
          <c:cat>
            <c:strRef>
              <c:f>Sheet3!$A$1:$A$7</c:f>
              <c:strCache>
                <c:ptCount val="7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</c:strCache>
            </c:strRef>
          </c:cat>
          <c:val>
            <c:numRef>
              <c:f>Sheet3!$B$1:$B$7</c:f>
              <c:numCache>
                <c:formatCode>General</c:formatCode>
                <c:ptCount val="7"/>
                <c:pt idx="0">
                  <c:v>6587737</c:v>
                </c:pt>
                <c:pt idx="1">
                  <c:v>4055744</c:v>
                </c:pt>
                <c:pt idx="2">
                  <c:v>1672889</c:v>
                </c:pt>
                <c:pt idx="3">
                  <c:v>1698086</c:v>
                </c:pt>
                <c:pt idx="4">
                  <c:v>256540</c:v>
                </c:pt>
                <c:pt idx="5">
                  <c:v>30435</c:v>
                </c:pt>
                <c:pt idx="6">
                  <c:v>1570585</c:v>
                </c:pt>
              </c:numCache>
            </c:numRef>
          </c:val>
        </c:ser>
        <c:dLbls>
          <c:showPercent val="1"/>
        </c:dLbls>
      </c:pie3DChart>
    </c:plotArea>
    <c:legend>
      <c:legendPos val="b"/>
      <c:txPr>
        <a:bodyPr/>
        <a:lstStyle/>
        <a:p>
          <a:pPr>
            <a:defRPr b="1" i="1"/>
          </a:pPr>
          <a:endParaRPr lang="sr-Latn-CS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spPr>
        <a:noFill/>
        <a:ln w="25400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0277777777777693E-2"/>
          <c:y val="0.1936117617134924"/>
          <c:w val="0.81944444444444464"/>
          <c:h val="0.6954263462170265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1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defRPr>
                  </a:pPr>
                  <a:endParaRPr lang="sr-Latn-CS"/>
                </a:p>
              </c:txPr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 i="1">
                        <a:solidFill>
                          <a:sysClr val="windowText" lastClr="000000"/>
                        </a:solidFill>
                      </a:rPr>
                      <a:t>Vrtić
9%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CZK
2%</a:t>
                    </a:r>
                  </a:p>
                </c:rich>
              </c:tx>
              <c:showCatName val="1"/>
              <c:showPercent val="1"/>
            </c:dLbl>
            <c:dLbl>
              <c:idx val="5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1" i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sr-Latn-CS"/>
                </a:p>
              </c:txPr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ysClr val="windowText" lastClr="000000"/>
                    </a:solidFill>
                  </a:defRPr>
                </a:pPr>
                <a:endParaRPr lang="sr-Latn-CS"/>
              </a:p>
            </c:txPr>
            <c:showCatName val="1"/>
            <c:showPercent val="1"/>
            <c:showLeaderLines val="1"/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16179369</c:v>
                </c:pt>
                <c:pt idx="1">
                  <c:v>334695</c:v>
                </c:pt>
                <c:pt idx="2">
                  <c:v>386233</c:v>
                </c:pt>
                <c:pt idx="3">
                  <c:v>1799288</c:v>
                </c:pt>
                <c:pt idx="4">
                  <c:v>499492</c:v>
                </c:pt>
                <c:pt idx="5">
                  <c:v>1650289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r-HR"/>
              <a:t>PLANIRANI I IZVRŠENI RASHODI USTANOVA</a:t>
            </a:r>
          </a:p>
        </c:rich>
      </c:tx>
      <c:layout>
        <c:manualLayout>
          <c:xMode val="edge"/>
          <c:yMode val="edge"/>
          <c:x val="0.25889967637540617"/>
          <c:y val="3.2745591939546598E-2"/>
        </c:manualLayout>
      </c:layout>
      <c:spPr>
        <a:noFill/>
        <a:ln w="25400">
          <a:noFill/>
        </a:ln>
      </c:spPr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679611650485472"/>
          <c:y val="0.19395465994962216"/>
          <c:w val="0.74433656957928807"/>
          <c:h val="0.64735516372795621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0"/>
                  <c:y val="-1.0075566750629716E-2"/>
                </c:manualLayout>
              </c:layout>
              <c:showVal val="1"/>
            </c:dLbl>
            <c:dLbl>
              <c:idx val="1"/>
              <c:layout>
                <c:manualLayout>
                  <c:x val="4.3149946062567245E-3"/>
                  <c:y val="-1.0075566750629716E-2"/>
                </c:manualLayout>
              </c:layout>
              <c:showVal val="1"/>
            </c:dLbl>
            <c:dLbl>
              <c:idx val="2"/>
              <c:layout>
                <c:manualLayout>
                  <c:x val="4.3149946062567245E-3"/>
                  <c:y val="-1.0075566750629754E-2"/>
                </c:manualLayout>
              </c:layout>
              <c:showVal val="1"/>
            </c:dLbl>
            <c:dLbl>
              <c:idx val="3"/>
              <c:layout>
                <c:manualLayout>
                  <c:x val="4.3149946062567245E-3"/>
                  <c:y val="-6.7170445004198194E-3"/>
                </c:manualLayout>
              </c:layout>
              <c:showVal val="1"/>
            </c:dLbl>
            <c:dLbl>
              <c:idx val="4"/>
              <c:layout>
                <c:manualLayout>
                  <c:x val="4.3149946062567964E-3"/>
                  <c:y val="-1.0075566750629716E-2"/>
                </c:manualLayout>
              </c:layout>
              <c:showVal val="1"/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/>
                </a:pPr>
                <a:endParaRPr lang="sr-Latn-C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1154618</c:v>
                </c:pt>
                <c:pt idx="1">
                  <c:v>758500</c:v>
                </c:pt>
                <c:pt idx="2">
                  <c:v>3639153</c:v>
                </c:pt>
                <c:pt idx="3">
                  <c:v>926990</c:v>
                </c:pt>
                <c:pt idx="4">
                  <c:v>2107480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1.2944983818770227E-2"/>
                  <c:y val="-1.6792611251049541E-2"/>
                </c:manualLayout>
              </c:layout>
              <c:showVal val="1"/>
            </c:dLbl>
            <c:dLbl>
              <c:idx val="1"/>
              <c:layout>
                <c:manualLayout>
                  <c:x val="1.0787486515641894E-2"/>
                  <c:y val="-1.0075566750629716E-2"/>
                </c:manualLayout>
              </c:layout>
              <c:showVal val="1"/>
            </c:dLbl>
            <c:dLbl>
              <c:idx val="2"/>
              <c:layout>
                <c:manualLayout>
                  <c:x val="1.7259978425026964E-2"/>
                  <c:y val="-6.7170445004198194E-3"/>
                </c:manualLayout>
              </c:layout>
              <c:showVal val="1"/>
            </c:dLbl>
            <c:dLbl>
              <c:idx val="3"/>
              <c:layout>
                <c:manualLayout>
                  <c:x val="1.2944983818770227E-2"/>
                  <c:y val="-6.7170445004198194E-3"/>
                </c:manualLayout>
              </c:layout>
              <c:showVal val="1"/>
            </c:dLbl>
            <c:dLbl>
              <c:idx val="4"/>
              <c:layout>
                <c:manualLayout>
                  <c:x val="1.51024811218986E-2"/>
                  <c:y val="-6.7173089509907124E-3"/>
                </c:manualLayout>
              </c:layout>
              <c:showVal val="1"/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ysClr val="windowText" lastClr="000000"/>
                    </a:solidFill>
                  </a:defRPr>
                </a:pPr>
                <a:endParaRPr lang="sr-Latn-C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334695</c:v>
                </c:pt>
                <c:pt idx="1">
                  <c:v>386233</c:v>
                </c:pt>
                <c:pt idx="2">
                  <c:v>1799288</c:v>
                </c:pt>
                <c:pt idx="3">
                  <c:v>499492</c:v>
                </c:pt>
                <c:pt idx="4">
                  <c:v>1650289</c:v>
                </c:pt>
              </c:numCache>
            </c:numRef>
          </c:val>
        </c:ser>
        <c:dLbls>
          <c:showVal val="1"/>
        </c:dLbls>
        <c:gapWidth val="25"/>
        <c:gapDepth val="210"/>
        <c:shape val="cylinder"/>
        <c:axId val="136117248"/>
        <c:axId val="136131328"/>
        <c:axId val="0"/>
      </c:bar3DChart>
      <c:catAx>
        <c:axId val="1361172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sr-Latn-CS"/>
          </a:p>
        </c:txPr>
        <c:crossAx val="136131328"/>
        <c:crosses val="autoZero"/>
        <c:auto val="1"/>
        <c:lblAlgn val="ctr"/>
        <c:lblOffset val="100"/>
      </c:catAx>
      <c:valAx>
        <c:axId val="136131328"/>
        <c:scaling>
          <c:orientation val="minMax"/>
        </c:scaling>
        <c:axPos val="l"/>
        <c:numFmt formatCode="General" sourceLinked="1"/>
        <c:majorTickMark val="none"/>
        <c:tickLblPos val="nextTo"/>
        <c:crossAx val="136117248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Tisuće</a:t>
                  </a:r>
                </a:p>
              </c:rich>
            </c:tx>
            <c:spPr>
              <a:noFill/>
              <a:ln w="25400">
                <a:noFill/>
              </a:ln>
            </c:spPr>
          </c:dispUnitsLbl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9320388349514"/>
          <c:y val="0.48614609571788642"/>
          <c:w val="0.12730202414018635"/>
          <c:h val="0.12146373390983572"/>
        </c:manualLayout>
      </c:layout>
      <c:txPr>
        <a:bodyPr/>
        <a:lstStyle/>
        <a:p>
          <a:pPr>
            <a:defRPr b="1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23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PLANIRANI I OSTVARENI VLASTITI PRIHODI USTANOVA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6770781372192554E-3"/>
                  <c:y val="-3.9535202985249707E-3"/>
                </c:manualLayout>
              </c:layout>
              <c:showVal val="1"/>
            </c:dLbl>
            <c:dLbl>
              <c:idx val="2"/>
              <c:layout>
                <c:manualLayout>
                  <c:x val="-9.3541562744384778E-3"/>
                  <c:y val="-7.9070405970500524E-3"/>
                </c:manualLayout>
              </c:layout>
              <c:showVal val="1"/>
            </c:dLbl>
            <c:dLbl>
              <c:idx val="3"/>
              <c:layout>
                <c:manualLayout>
                  <c:x val="-1.169269534304811E-2"/>
                  <c:y val="3.6240184086780845E-17"/>
                </c:manualLayout>
              </c:layout>
              <c:showVal val="1"/>
            </c:dLbl>
            <c:dLbl>
              <c:idx val="4"/>
              <c:layout>
                <c:manualLayout>
                  <c:x val="-4.677078137219212E-3"/>
                  <c:y val="3.9535202985250409E-3"/>
                </c:manualLayout>
              </c:layout>
              <c:showVal val="1"/>
            </c:dLbl>
            <c:numFmt formatCode="###" sourceLinked="0"/>
            <c:txPr>
              <a:bodyPr/>
              <a:lstStyle/>
              <a:p>
                <a:pPr>
                  <a:defRPr b="1" i="1"/>
                </a:pPr>
                <a:endParaRPr lang="sr-Latn-CS"/>
              </a:p>
            </c:txPr>
            <c:showVal val="1"/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184022</c:v>
                </c:pt>
                <c:pt idx="1">
                  <c:v>57500</c:v>
                </c:pt>
                <c:pt idx="2">
                  <c:v>778796</c:v>
                </c:pt>
                <c:pt idx="3">
                  <c:v>193680</c:v>
                </c:pt>
                <c:pt idx="4">
                  <c:v>240000</c:v>
                </c:pt>
              </c:numCache>
            </c:numRef>
          </c:val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cmpd="sng"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2"/>
              <c:layout>
                <c:manualLayout>
                  <c:x val="-1.1692695343048063E-2"/>
                  <c:y val="-7.9070405970500524E-3"/>
                </c:manualLayout>
              </c:layout>
              <c:showVal val="1"/>
            </c:dLbl>
            <c:numFmt formatCode="###" sourceLinked="0"/>
            <c:txPr>
              <a:bodyPr/>
              <a:lstStyle/>
              <a:p>
                <a:pPr>
                  <a:defRPr b="1" i="1"/>
                </a:pPr>
                <a:endParaRPr lang="sr-Latn-CS"/>
              </a:p>
            </c:txPr>
            <c:showVal val="1"/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27580</c:v>
                </c:pt>
                <c:pt idx="1">
                  <c:v>20188</c:v>
                </c:pt>
                <c:pt idx="2">
                  <c:v>436822</c:v>
                </c:pt>
                <c:pt idx="3">
                  <c:v>70264</c:v>
                </c:pt>
                <c:pt idx="4">
                  <c:v>136083</c:v>
                </c:pt>
              </c:numCache>
            </c:numRef>
          </c:val>
        </c:ser>
        <c:dLbls>
          <c:showVal val="1"/>
        </c:dLbls>
        <c:gapWidth val="30"/>
        <c:overlap val="8"/>
        <c:axId val="136157440"/>
        <c:axId val="136511488"/>
      </c:barChart>
      <c:catAx>
        <c:axId val="1361574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 i="1"/>
            </a:pPr>
            <a:endParaRPr lang="sr-Latn-CS"/>
          </a:p>
        </c:txPr>
        <c:crossAx val="136511488"/>
        <c:crosses val="autoZero"/>
        <c:auto val="1"/>
        <c:lblAlgn val="ctr"/>
        <c:lblOffset val="100"/>
      </c:catAx>
      <c:valAx>
        <c:axId val="136511488"/>
        <c:scaling>
          <c:orientation val="minMax"/>
        </c:scaling>
        <c:axPos val="b"/>
        <c:numFmt formatCode="General" sourceLinked="0"/>
        <c:majorTickMark val="none"/>
        <c:tickLblPos val="nextTo"/>
        <c:crossAx val="136157440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noFill/>
        <a:ln>
          <a:noFill/>
        </a:ln>
      </c:spPr>
    </c:plotArea>
    <c:legend>
      <c:legendPos val="b"/>
      <c:txPr>
        <a:bodyPr/>
        <a:lstStyle/>
        <a:p>
          <a:pPr>
            <a:defRPr b="1" i="1"/>
          </a:pPr>
          <a:endParaRPr lang="sr-Latn-CS"/>
        </a:p>
      </c:txPr>
    </c:legend>
    <c:plotVisOnly val="1"/>
  </c:chart>
  <c:spPr>
    <a:ln w="7620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btomic</dc:creator>
  <cp:lastModifiedBy>btomic</cp:lastModifiedBy>
  <cp:revision>26</cp:revision>
  <cp:lastPrinted>2019-10-21T07:53:00Z</cp:lastPrinted>
  <dcterms:created xsi:type="dcterms:W3CDTF">2019-08-26T06:52:00Z</dcterms:created>
  <dcterms:modified xsi:type="dcterms:W3CDTF">2019-10-21T08:34:00Z</dcterms:modified>
</cp:coreProperties>
</file>