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D154B" w14:textId="77777777" w:rsidR="00311E20" w:rsidRPr="003F620D" w:rsidRDefault="00E707D6">
      <w:pPr>
        <w:jc w:val="both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noProof/>
          <w:color w:val="000000"/>
          <w:lang w:eastAsia="hr-HR" w:bidi="ar-SA"/>
        </w:rPr>
        <w:drawing>
          <wp:anchor distT="0" distB="0" distL="0" distR="0" simplePos="0" relativeHeight="251652096" behindDoc="0" locked="0" layoutInCell="1" allowOverlap="1" wp14:anchorId="551AA16E" wp14:editId="79AFE6BA">
            <wp:simplePos x="0" y="0"/>
            <wp:positionH relativeFrom="page">
              <wp:posOffset>229870</wp:posOffset>
            </wp:positionH>
            <wp:positionV relativeFrom="page">
              <wp:posOffset>164465</wp:posOffset>
            </wp:positionV>
            <wp:extent cx="2000885" cy="553085"/>
            <wp:effectExtent l="0" t="0" r="0" b="0"/>
            <wp:wrapSquare wrapText="largest"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620D">
        <w:rPr>
          <w:rFonts w:ascii="Times New Roman" w:hAnsi="Times New Roman" w:cs="Times New Roman"/>
          <w:noProof/>
          <w:color w:val="000000"/>
          <w:lang w:eastAsia="hr-HR" w:bidi="ar-SA"/>
        </w:rPr>
        <w:drawing>
          <wp:anchor distT="0" distB="101600" distL="0" distR="0" simplePos="0" relativeHeight="251654144" behindDoc="0" locked="0" layoutInCell="1" allowOverlap="1" wp14:anchorId="6C3371BE" wp14:editId="0C9F6FC0">
            <wp:simplePos x="0" y="0"/>
            <wp:positionH relativeFrom="page">
              <wp:posOffset>2230120</wp:posOffset>
            </wp:positionH>
            <wp:positionV relativeFrom="page">
              <wp:posOffset>107315</wp:posOffset>
            </wp:positionV>
            <wp:extent cx="1082675" cy="59372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620D">
        <w:rPr>
          <w:rFonts w:ascii="Times New Roman" w:hAnsi="Times New Roman" w:cs="Times New Roman"/>
          <w:noProof/>
          <w:color w:val="000000"/>
          <w:lang w:eastAsia="hr-HR" w:bidi="ar-SA"/>
        </w:rPr>
        <w:drawing>
          <wp:anchor distT="0" distB="101600" distL="0" distR="0" simplePos="0" relativeHeight="251656192" behindDoc="0" locked="0" layoutInCell="1" allowOverlap="1" wp14:anchorId="5B8ED79D" wp14:editId="11F28B16">
            <wp:simplePos x="0" y="0"/>
            <wp:positionH relativeFrom="page">
              <wp:posOffset>3442970</wp:posOffset>
            </wp:positionH>
            <wp:positionV relativeFrom="page">
              <wp:posOffset>76835</wp:posOffset>
            </wp:positionV>
            <wp:extent cx="754380" cy="742315"/>
            <wp:effectExtent l="0" t="0" r="0" b="0"/>
            <wp:wrapSquare wrapText="largest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620D">
        <w:rPr>
          <w:rFonts w:ascii="Times New Roman" w:hAnsi="Times New Roman" w:cs="Times New Roman"/>
          <w:noProof/>
          <w:color w:val="000000"/>
          <w:lang w:eastAsia="hr-HR" w:bidi="ar-SA"/>
        </w:rPr>
        <w:drawing>
          <wp:anchor distT="0" distB="0" distL="0" distR="0" simplePos="0" relativeHeight="251658240" behindDoc="0" locked="0" layoutInCell="1" allowOverlap="1" wp14:anchorId="20CE97CC" wp14:editId="30A2278E">
            <wp:simplePos x="0" y="0"/>
            <wp:positionH relativeFrom="page">
              <wp:posOffset>4370070</wp:posOffset>
            </wp:positionH>
            <wp:positionV relativeFrom="page">
              <wp:posOffset>88265</wp:posOffset>
            </wp:positionV>
            <wp:extent cx="617220" cy="712470"/>
            <wp:effectExtent l="0" t="0" r="0" b="0"/>
            <wp:wrapSquare wrapText="largest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620D">
        <w:rPr>
          <w:rFonts w:ascii="Times New Roman" w:hAnsi="Times New Roman" w:cs="Times New Roman"/>
          <w:noProof/>
          <w:color w:val="000000"/>
          <w:lang w:eastAsia="hr-HR" w:bidi="ar-SA"/>
        </w:rPr>
        <w:drawing>
          <wp:anchor distT="0" distB="0" distL="0" distR="0" simplePos="0" relativeHeight="251660288" behindDoc="0" locked="0" layoutInCell="1" allowOverlap="1" wp14:anchorId="57D44023" wp14:editId="04AD587C">
            <wp:simplePos x="0" y="0"/>
            <wp:positionH relativeFrom="page">
              <wp:posOffset>5100955</wp:posOffset>
            </wp:positionH>
            <wp:positionV relativeFrom="page">
              <wp:posOffset>247015</wp:posOffset>
            </wp:positionV>
            <wp:extent cx="1057910" cy="413385"/>
            <wp:effectExtent l="0" t="0" r="0" b="0"/>
            <wp:wrapSquare wrapText="largest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620D">
        <w:rPr>
          <w:rFonts w:ascii="Times New Roman" w:hAnsi="Times New Roman" w:cs="Times New Roman"/>
          <w:noProof/>
          <w:color w:val="000000"/>
          <w:lang w:eastAsia="hr-HR" w:bidi="ar-SA"/>
        </w:rPr>
        <w:drawing>
          <wp:anchor distT="0" distB="0" distL="0" distR="0" simplePos="0" relativeHeight="251662336" behindDoc="0" locked="0" layoutInCell="1" allowOverlap="1" wp14:anchorId="09283164" wp14:editId="65FB8079">
            <wp:simplePos x="0" y="0"/>
            <wp:positionH relativeFrom="page">
              <wp:posOffset>6282690</wp:posOffset>
            </wp:positionH>
            <wp:positionV relativeFrom="page">
              <wp:posOffset>142240</wp:posOffset>
            </wp:positionV>
            <wp:extent cx="760730" cy="616585"/>
            <wp:effectExtent l="0" t="0" r="0" b="0"/>
            <wp:wrapSquare wrapText="largest"/>
            <wp:docPr id="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67AB00" w14:textId="77777777" w:rsidR="00311E20" w:rsidRPr="003F620D" w:rsidRDefault="00311E20">
      <w:pPr>
        <w:widowControl/>
        <w:jc w:val="center"/>
        <w:rPr>
          <w:rFonts w:ascii="Times New Roman" w:hAnsi="Times New Roman" w:cs="Times New Roman"/>
          <w:color w:val="000000"/>
        </w:rPr>
      </w:pPr>
    </w:p>
    <w:p w14:paraId="6417F371" w14:textId="40985EE7" w:rsidR="00311E20" w:rsidRPr="003F620D" w:rsidRDefault="00E707D6">
      <w:pPr>
        <w:widowControl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Grad Korčula</w:t>
      </w:r>
      <w:r w:rsidRPr="003F620D">
        <w:rPr>
          <w:rFonts w:ascii="Times New Roman" w:hAnsi="Times New Roman" w:cs="Times New Roman"/>
          <w:color w:val="000000"/>
        </w:rPr>
        <w:t>, Trg Antuna i Stjepana Radića 1, 20260 Korčula, OIB: 92770362982</w:t>
      </w:r>
      <w:r w:rsidR="00EB502C">
        <w:rPr>
          <w:rFonts w:ascii="Times New Roman" w:hAnsi="Times New Roman" w:cs="Times New Roman"/>
          <w:color w:val="000000"/>
        </w:rPr>
        <w:t>,</w:t>
      </w:r>
      <w:r w:rsidRPr="003F620D">
        <w:rPr>
          <w:rFonts w:ascii="Times New Roman" w:hAnsi="Times New Roman" w:cs="Times New Roman"/>
          <w:color w:val="000000"/>
        </w:rPr>
        <w:t xml:space="preserve"> zastupan po gradonačelniku Andrij</w:t>
      </w:r>
      <w:r w:rsidR="00EB502C">
        <w:rPr>
          <w:rFonts w:ascii="Times New Roman" w:hAnsi="Times New Roman" w:cs="Times New Roman"/>
          <w:color w:val="000000"/>
        </w:rPr>
        <w:t>i</w:t>
      </w:r>
      <w:r w:rsidRPr="003F62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F620D">
        <w:rPr>
          <w:rFonts w:ascii="Times New Roman" w:hAnsi="Times New Roman" w:cs="Times New Roman"/>
          <w:color w:val="000000"/>
        </w:rPr>
        <w:t>Fabris</w:t>
      </w:r>
      <w:r w:rsidR="00EB502C">
        <w:rPr>
          <w:rFonts w:ascii="Times New Roman" w:hAnsi="Times New Roman" w:cs="Times New Roman"/>
          <w:color w:val="000000"/>
        </w:rPr>
        <w:t>u</w:t>
      </w:r>
      <w:proofErr w:type="spellEnd"/>
      <w:r w:rsidR="00EB502C">
        <w:rPr>
          <w:rFonts w:ascii="Times New Roman" w:hAnsi="Times New Roman" w:cs="Times New Roman"/>
          <w:color w:val="000000"/>
        </w:rPr>
        <w:t>,</w:t>
      </w:r>
      <w:r w:rsidRPr="003F620D">
        <w:rPr>
          <w:rFonts w:ascii="Times New Roman" w:hAnsi="Times New Roman" w:cs="Times New Roman"/>
          <w:color w:val="000000"/>
        </w:rPr>
        <w:t xml:space="preserve"> s jedne strane</w:t>
      </w:r>
      <w:r w:rsidR="00E84328">
        <w:rPr>
          <w:rFonts w:ascii="Times New Roman" w:hAnsi="Times New Roman" w:cs="Times New Roman"/>
          <w:color w:val="000000"/>
        </w:rPr>
        <w:t>,</w:t>
      </w:r>
      <w:r w:rsidRPr="003F620D">
        <w:rPr>
          <w:rFonts w:ascii="Times New Roman" w:hAnsi="Times New Roman" w:cs="Times New Roman"/>
          <w:color w:val="000000"/>
        </w:rPr>
        <w:t xml:space="preserve"> </w:t>
      </w:r>
    </w:p>
    <w:p w14:paraId="05E32B18" w14:textId="77777777" w:rsidR="00311E20" w:rsidRPr="003F620D" w:rsidRDefault="00E707D6">
      <w:pPr>
        <w:widowControl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i</w:t>
      </w:r>
    </w:p>
    <w:p w14:paraId="33F92254" w14:textId="77777777" w:rsidR="0065157D" w:rsidRDefault="00E707D6">
      <w:pPr>
        <w:widowControl/>
        <w:rPr>
          <w:rFonts w:ascii="Times New Roman" w:hAnsi="Times New Roman" w:cs="Times New Roman"/>
          <w:color w:val="000000"/>
        </w:rPr>
      </w:pPr>
      <w:r w:rsidRPr="004523D5">
        <w:rPr>
          <w:rFonts w:ascii="Times New Roman" w:hAnsi="Times New Roman" w:cs="Times New Roman"/>
          <w:b/>
          <w:i/>
          <w:iCs/>
          <w:color w:val="000000"/>
          <w:highlight w:val="lightGray"/>
        </w:rPr>
        <w:t>naziv poduzetnika</w:t>
      </w:r>
      <w:r w:rsidRPr="004523D5">
        <w:rPr>
          <w:rFonts w:ascii="Times New Roman" w:hAnsi="Times New Roman" w:cs="Times New Roman"/>
          <w:i/>
          <w:iCs/>
          <w:color w:val="000000"/>
          <w:highlight w:val="lightGray"/>
        </w:rPr>
        <w:t xml:space="preserve">, adresa i OIB </w:t>
      </w:r>
      <w:r w:rsidRPr="003F620D">
        <w:rPr>
          <w:rFonts w:ascii="Times New Roman" w:hAnsi="Times New Roman" w:cs="Times New Roman"/>
          <w:color w:val="000000"/>
        </w:rPr>
        <w:t>(u daljnjem tekstu</w:t>
      </w:r>
      <w:r w:rsidR="00EB502C">
        <w:rPr>
          <w:rFonts w:ascii="Times New Roman" w:hAnsi="Times New Roman" w:cs="Times New Roman"/>
          <w:color w:val="000000"/>
        </w:rPr>
        <w:t>: p</w:t>
      </w:r>
      <w:r w:rsidRPr="003F620D">
        <w:rPr>
          <w:rFonts w:ascii="Times New Roman" w:hAnsi="Times New Roman" w:cs="Times New Roman"/>
          <w:color w:val="000000"/>
        </w:rPr>
        <w:t xml:space="preserve">oduzetnik) zastupan po </w:t>
      </w:r>
      <w:r w:rsidRPr="004523D5">
        <w:rPr>
          <w:rFonts w:ascii="Times New Roman" w:hAnsi="Times New Roman" w:cs="Times New Roman"/>
          <w:color w:val="000000"/>
          <w:highlight w:val="lightGray"/>
        </w:rPr>
        <w:t>(ime i prezime direktora ako je tvrtka)</w:t>
      </w:r>
      <w:r w:rsidR="00EB502C">
        <w:rPr>
          <w:rFonts w:ascii="Times New Roman" w:hAnsi="Times New Roman" w:cs="Times New Roman"/>
          <w:color w:val="000000"/>
        </w:rPr>
        <w:t>,</w:t>
      </w:r>
      <w:r w:rsidRPr="003F620D">
        <w:rPr>
          <w:rFonts w:ascii="Times New Roman" w:hAnsi="Times New Roman" w:cs="Times New Roman"/>
          <w:color w:val="000000"/>
        </w:rPr>
        <w:t xml:space="preserve"> s druge strane (u daljnjem tekstu</w:t>
      </w:r>
      <w:r w:rsidR="00EB502C">
        <w:rPr>
          <w:rFonts w:ascii="Times New Roman" w:hAnsi="Times New Roman" w:cs="Times New Roman"/>
          <w:color w:val="000000"/>
        </w:rPr>
        <w:t>:</w:t>
      </w:r>
      <w:r w:rsidRPr="003F620D">
        <w:rPr>
          <w:rFonts w:ascii="Times New Roman" w:hAnsi="Times New Roman" w:cs="Times New Roman"/>
          <w:color w:val="000000"/>
        </w:rPr>
        <w:t xml:space="preserve"> </w:t>
      </w:r>
      <w:r w:rsidR="00EB502C">
        <w:rPr>
          <w:rFonts w:ascii="Times New Roman" w:hAnsi="Times New Roman" w:cs="Times New Roman"/>
          <w:color w:val="000000"/>
        </w:rPr>
        <w:t>s</w:t>
      </w:r>
      <w:r w:rsidRPr="003F620D">
        <w:rPr>
          <w:rFonts w:ascii="Times New Roman" w:hAnsi="Times New Roman" w:cs="Times New Roman"/>
          <w:color w:val="000000"/>
        </w:rPr>
        <w:t>trane)</w:t>
      </w:r>
      <w:r w:rsidR="0065157D">
        <w:rPr>
          <w:rFonts w:ascii="Times New Roman" w:hAnsi="Times New Roman" w:cs="Times New Roman"/>
          <w:color w:val="000000"/>
        </w:rPr>
        <w:t>,</w:t>
      </w:r>
    </w:p>
    <w:p w14:paraId="4E2864A8" w14:textId="547CF8EE" w:rsidR="00311E20" w:rsidRDefault="00C6057E">
      <w:pPr>
        <w:widowControl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zaključili su dana _____________godine sljedeći</w:t>
      </w:r>
    </w:p>
    <w:p w14:paraId="4E8D38AA" w14:textId="77777777" w:rsidR="00C6057E" w:rsidRPr="003F620D" w:rsidRDefault="00C6057E">
      <w:pPr>
        <w:widowControl/>
        <w:rPr>
          <w:rFonts w:ascii="Times New Roman" w:hAnsi="Times New Roman" w:cs="Times New Roman"/>
        </w:rPr>
      </w:pPr>
    </w:p>
    <w:p w14:paraId="75AB3572" w14:textId="77777777" w:rsidR="00E84328" w:rsidRPr="003F620D" w:rsidRDefault="00E84328" w:rsidP="00E84328">
      <w:pPr>
        <w:widowControl/>
        <w:jc w:val="center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U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620D">
        <w:rPr>
          <w:rFonts w:ascii="Times New Roman" w:hAnsi="Times New Roman" w:cs="Times New Roman"/>
          <w:b/>
          <w:bCs/>
          <w:color w:val="000000"/>
        </w:rPr>
        <w:t>G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620D">
        <w:rPr>
          <w:rFonts w:ascii="Times New Roman" w:hAnsi="Times New Roman" w:cs="Times New Roman"/>
          <w:b/>
          <w:bCs/>
          <w:color w:val="000000"/>
        </w:rPr>
        <w:t>O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620D">
        <w:rPr>
          <w:rFonts w:ascii="Times New Roman" w:hAnsi="Times New Roman" w:cs="Times New Roman"/>
          <w:b/>
          <w:bCs/>
          <w:color w:val="000000"/>
        </w:rPr>
        <w:t>V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620D">
        <w:rPr>
          <w:rFonts w:ascii="Times New Roman" w:hAnsi="Times New Roman" w:cs="Times New Roman"/>
          <w:b/>
          <w:bCs/>
          <w:color w:val="000000"/>
        </w:rPr>
        <w:t>O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620D">
        <w:rPr>
          <w:rFonts w:ascii="Times New Roman" w:hAnsi="Times New Roman" w:cs="Times New Roman"/>
          <w:b/>
          <w:bCs/>
          <w:color w:val="000000"/>
        </w:rPr>
        <w:t>R</w:t>
      </w:r>
    </w:p>
    <w:p w14:paraId="442E55A4" w14:textId="728AE808" w:rsidR="00E84328" w:rsidRPr="003F620D" w:rsidRDefault="00E84328" w:rsidP="00E84328">
      <w:pPr>
        <w:widowControl/>
        <w:jc w:val="center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 xml:space="preserve">o sufinanciranju troškova sudjelovanja poduzetnika na </w:t>
      </w:r>
      <w:r w:rsidR="005A200C">
        <w:rPr>
          <w:rFonts w:ascii="Times New Roman" w:hAnsi="Times New Roman" w:cs="Times New Roman"/>
          <w:b/>
          <w:bCs/>
          <w:color w:val="000000"/>
        </w:rPr>
        <w:t xml:space="preserve">domaćim i inozemnim </w:t>
      </w:r>
      <w:r w:rsidRPr="003F620D">
        <w:rPr>
          <w:rFonts w:ascii="Times New Roman" w:hAnsi="Times New Roman" w:cs="Times New Roman"/>
          <w:b/>
          <w:bCs/>
          <w:color w:val="000000"/>
        </w:rPr>
        <w:t>sajmovima</w:t>
      </w:r>
      <w:r w:rsidRPr="003F620D">
        <w:rPr>
          <w:rFonts w:ascii="Times New Roman" w:hAnsi="Times New Roman" w:cs="Times New Roman"/>
          <w:color w:val="000000"/>
        </w:rPr>
        <w:t xml:space="preserve"> </w:t>
      </w:r>
    </w:p>
    <w:p w14:paraId="72546D92" w14:textId="77777777" w:rsidR="00C6057E" w:rsidRDefault="00C6057E" w:rsidP="00C6057E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EAA66C8" w14:textId="38F03600" w:rsidR="00311E20" w:rsidRPr="003F620D" w:rsidRDefault="00C6057E" w:rsidP="00C6057E">
      <w:pPr>
        <w:widowControl/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Predmet</w:t>
      </w:r>
    </w:p>
    <w:p w14:paraId="4240AFAC" w14:textId="77777777" w:rsidR="00C6057E" w:rsidRDefault="00C6057E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A35FA1E" w14:textId="2BFC767F" w:rsidR="00311E20" w:rsidRPr="003F620D" w:rsidRDefault="00C6057E" w:rsidP="00C605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Članak 1.</w:t>
      </w:r>
    </w:p>
    <w:p w14:paraId="33C94DA8" w14:textId="77777777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1.1. Predmet ovog Ugovora je dodjela bespovratnih sredstava od strane Grada Korčule za sufinanciranje troškova sudjelovanja poduzetnika na </w:t>
      </w:r>
      <w:r w:rsidRPr="004523D5">
        <w:rPr>
          <w:rFonts w:ascii="Times New Roman" w:hAnsi="Times New Roman" w:cs="Times New Roman"/>
          <w:i/>
          <w:iCs/>
          <w:color w:val="000000"/>
          <w:highlight w:val="lightGray"/>
        </w:rPr>
        <w:t>naziv sajma, vrijeme održavanja sajma, mjesto održavanja sajma</w:t>
      </w:r>
      <w:r w:rsidRPr="004523D5">
        <w:rPr>
          <w:rFonts w:ascii="Times New Roman" w:hAnsi="Times New Roman" w:cs="Times New Roman"/>
          <w:color w:val="000000"/>
          <w:highlight w:val="lightGray"/>
        </w:rPr>
        <w:t>.</w:t>
      </w:r>
    </w:p>
    <w:p w14:paraId="53846551" w14:textId="13C4294B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1.</w:t>
      </w:r>
      <w:r w:rsidR="005C0167" w:rsidRPr="003F620D">
        <w:rPr>
          <w:rFonts w:ascii="Times New Roman" w:hAnsi="Times New Roman" w:cs="Times New Roman"/>
          <w:color w:val="000000"/>
        </w:rPr>
        <w:t>2</w:t>
      </w:r>
      <w:r w:rsidRPr="003F620D">
        <w:rPr>
          <w:rFonts w:ascii="Times New Roman" w:hAnsi="Times New Roman" w:cs="Times New Roman"/>
          <w:color w:val="000000"/>
        </w:rPr>
        <w:t>. Poduzetnik prihvaća bespovratna sredstva i preuzima provedbu sudjelovanja na sajmu na vlastitu odgovornost.</w:t>
      </w:r>
    </w:p>
    <w:p w14:paraId="192FB7C9" w14:textId="75D95AF7" w:rsidR="00311E20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Provedba i financijsko razdoblje operacije</w:t>
      </w:r>
    </w:p>
    <w:p w14:paraId="5E140CEC" w14:textId="77777777" w:rsidR="00C6057E" w:rsidRDefault="00C6057E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6AA47F3" w14:textId="3DA6D8D0" w:rsidR="00311E20" w:rsidRPr="003F620D" w:rsidRDefault="00C6057E" w:rsidP="00C605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Članak 2.</w:t>
      </w:r>
    </w:p>
    <w:p w14:paraId="5D971C61" w14:textId="2F56DCC4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2.1. Ovaj Ugovor stupa na snagu s datumom kada ga potpiše </w:t>
      </w:r>
      <w:r w:rsidR="00EB502C">
        <w:rPr>
          <w:rFonts w:ascii="Times New Roman" w:hAnsi="Times New Roman" w:cs="Times New Roman"/>
          <w:color w:val="000000"/>
        </w:rPr>
        <w:t>posljednja s</w:t>
      </w:r>
      <w:r w:rsidRPr="003F620D">
        <w:rPr>
          <w:rFonts w:ascii="Times New Roman" w:hAnsi="Times New Roman" w:cs="Times New Roman"/>
          <w:color w:val="000000"/>
        </w:rPr>
        <w:t>trana, te ostaje na snazi do iz</w:t>
      </w:r>
      <w:r w:rsidR="00EB502C">
        <w:rPr>
          <w:rFonts w:ascii="Times New Roman" w:hAnsi="Times New Roman" w:cs="Times New Roman"/>
          <w:color w:val="000000"/>
        </w:rPr>
        <w:t>vršenja svih obaveza ugovornih s</w:t>
      </w:r>
      <w:r w:rsidRPr="003F620D">
        <w:rPr>
          <w:rFonts w:ascii="Times New Roman" w:hAnsi="Times New Roman" w:cs="Times New Roman"/>
          <w:color w:val="000000"/>
        </w:rPr>
        <w:t>trana.</w:t>
      </w:r>
    </w:p>
    <w:p w14:paraId="09288CAF" w14:textId="39342746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2.2. </w:t>
      </w:r>
      <w:r w:rsidR="005C0167" w:rsidRPr="003F620D">
        <w:rPr>
          <w:rFonts w:ascii="Times New Roman" w:hAnsi="Times New Roman" w:cs="Times New Roman"/>
          <w:color w:val="000000"/>
        </w:rPr>
        <w:t xml:space="preserve">Prihvatljivo vrijeme održavanja sajmova, kao </w:t>
      </w:r>
      <w:r w:rsidR="00FF1263" w:rsidRPr="003F620D">
        <w:rPr>
          <w:rFonts w:ascii="Times New Roman" w:hAnsi="Times New Roman" w:cs="Times New Roman"/>
          <w:color w:val="000000"/>
        </w:rPr>
        <w:t xml:space="preserve">i </w:t>
      </w:r>
      <w:r w:rsidR="005C0167" w:rsidRPr="003F620D">
        <w:rPr>
          <w:rFonts w:ascii="Times New Roman" w:hAnsi="Times New Roman" w:cs="Times New Roman"/>
          <w:color w:val="000000"/>
        </w:rPr>
        <w:t>datum</w:t>
      </w:r>
      <w:r w:rsidR="00FF1263" w:rsidRPr="003F620D">
        <w:rPr>
          <w:rFonts w:ascii="Times New Roman" w:hAnsi="Times New Roman" w:cs="Times New Roman"/>
          <w:color w:val="000000"/>
        </w:rPr>
        <w:t>a</w:t>
      </w:r>
      <w:r w:rsidR="005C0167" w:rsidRPr="003F620D">
        <w:rPr>
          <w:rFonts w:ascii="Times New Roman" w:hAnsi="Times New Roman" w:cs="Times New Roman"/>
          <w:color w:val="000000"/>
        </w:rPr>
        <w:t xml:space="preserve"> </w:t>
      </w:r>
      <w:r w:rsidR="00FF1263" w:rsidRPr="003F620D">
        <w:rPr>
          <w:rFonts w:ascii="Times New Roman" w:hAnsi="Times New Roman" w:cs="Times New Roman"/>
          <w:color w:val="000000"/>
        </w:rPr>
        <w:t>dokumenata (računa</w:t>
      </w:r>
      <w:r w:rsidR="005C0167" w:rsidRPr="003F620D">
        <w:rPr>
          <w:rFonts w:ascii="Times New Roman" w:hAnsi="Times New Roman" w:cs="Times New Roman"/>
          <w:color w:val="000000"/>
        </w:rPr>
        <w:t>, putni</w:t>
      </w:r>
      <w:r w:rsidR="00FF1263" w:rsidRPr="003F620D">
        <w:rPr>
          <w:rFonts w:ascii="Times New Roman" w:hAnsi="Times New Roman" w:cs="Times New Roman"/>
          <w:color w:val="000000"/>
        </w:rPr>
        <w:t>h</w:t>
      </w:r>
      <w:r w:rsidR="005C0167" w:rsidRPr="003F620D">
        <w:rPr>
          <w:rFonts w:ascii="Times New Roman" w:hAnsi="Times New Roman" w:cs="Times New Roman"/>
          <w:color w:val="000000"/>
        </w:rPr>
        <w:t xml:space="preserve"> obračun</w:t>
      </w:r>
      <w:r w:rsidR="00FF1263" w:rsidRPr="003F620D">
        <w:rPr>
          <w:rFonts w:ascii="Times New Roman" w:hAnsi="Times New Roman" w:cs="Times New Roman"/>
          <w:color w:val="000000"/>
        </w:rPr>
        <w:t>a</w:t>
      </w:r>
      <w:r w:rsidR="005C0167" w:rsidRPr="003F620D">
        <w:rPr>
          <w:rFonts w:ascii="Times New Roman" w:hAnsi="Times New Roman" w:cs="Times New Roman"/>
          <w:color w:val="000000"/>
        </w:rPr>
        <w:t>, ugovor</w:t>
      </w:r>
      <w:r w:rsidR="00FF1263" w:rsidRPr="003F620D">
        <w:rPr>
          <w:rFonts w:ascii="Times New Roman" w:hAnsi="Times New Roman" w:cs="Times New Roman"/>
          <w:color w:val="000000"/>
        </w:rPr>
        <w:t>a</w:t>
      </w:r>
      <w:r w:rsidR="005C0167" w:rsidRPr="003F620D">
        <w:rPr>
          <w:rFonts w:ascii="Times New Roman" w:hAnsi="Times New Roman" w:cs="Times New Roman"/>
          <w:color w:val="000000"/>
        </w:rPr>
        <w:t xml:space="preserve"> i sl.) koj</w:t>
      </w:r>
      <w:r w:rsidR="00D1495E">
        <w:rPr>
          <w:rFonts w:ascii="Times New Roman" w:hAnsi="Times New Roman" w:cs="Times New Roman"/>
          <w:color w:val="000000"/>
        </w:rPr>
        <w:t xml:space="preserve">ima se dokazuje nastanak troškova </w:t>
      </w:r>
      <w:r w:rsidR="005C0167" w:rsidRPr="003F620D">
        <w:rPr>
          <w:rFonts w:ascii="Times New Roman" w:hAnsi="Times New Roman" w:cs="Times New Roman"/>
          <w:color w:val="000000"/>
        </w:rPr>
        <w:t xml:space="preserve">sudjelovanja na sajmovima </w:t>
      </w:r>
      <w:r w:rsidRPr="003F620D">
        <w:rPr>
          <w:rFonts w:ascii="Times New Roman" w:hAnsi="Times New Roman" w:cs="Times New Roman"/>
          <w:color w:val="000000"/>
        </w:rPr>
        <w:t xml:space="preserve"> je od 20.07.2015 do 30.06.2016.</w:t>
      </w:r>
    </w:p>
    <w:p w14:paraId="5EA7A84C" w14:textId="6C76D0A5" w:rsidR="00100A1A" w:rsidRPr="003F620D" w:rsidRDefault="00100A1A">
      <w:pPr>
        <w:jc w:val="both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color w:val="000000"/>
        </w:rPr>
        <w:t>2.3. Zahtjev za nadoknadom sredstava podnosi najkasnije 7 dana od dana završetka održavanj</w:t>
      </w:r>
      <w:r w:rsidR="00D1495E">
        <w:rPr>
          <w:rFonts w:ascii="Times New Roman" w:hAnsi="Times New Roman" w:cs="Times New Roman"/>
          <w:color w:val="000000"/>
        </w:rPr>
        <w:t>a</w:t>
      </w:r>
      <w:r w:rsidR="004523D5">
        <w:rPr>
          <w:rFonts w:ascii="Times New Roman" w:hAnsi="Times New Roman" w:cs="Times New Roman"/>
          <w:color w:val="000000"/>
        </w:rPr>
        <w:t xml:space="preserve"> sajma a najkasnije 07. srpnja </w:t>
      </w:r>
      <w:r w:rsidR="00D1495E">
        <w:rPr>
          <w:rFonts w:ascii="Times New Roman" w:hAnsi="Times New Roman" w:cs="Times New Roman"/>
          <w:color w:val="000000"/>
        </w:rPr>
        <w:t>2016</w:t>
      </w:r>
      <w:r w:rsidRPr="003F620D">
        <w:rPr>
          <w:rFonts w:ascii="Times New Roman" w:hAnsi="Times New Roman" w:cs="Times New Roman"/>
          <w:color w:val="000000"/>
        </w:rPr>
        <w:t>.</w:t>
      </w:r>
    </w:p>
    <w:p w14:paraId="73A9C813" w14:textId="159D471A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2.</w:t>
      </w:r>
      <w:r w:rsidR="00100A1A" w:rsidRPr="003F620D">
        <w:rPr>
          <w:rFonts w:ascii="Times New Roman" w:hAnsi="Times New Roman" w:cs="Times New Roman"/>
          <w:color w:val="000000"/>
        </w:rPr>
        <w:t>4</w:t>
      </w:r>
      <w:r w:rsidRPr="003F620D">
        <w:rPr>
          <w:rFonts w:ascii="Times New Roman" w:hAnsi="Times New Roman" w:cs="Times New Roman"/>
          <w:color w:val="000000"/>
        </w:rPr>
        <w:t xml:space="preserve">. </w:t>
      </w:r>
      <w:r w:rsidR="005C0167" w:rsidRPr="003F620D">
        <w:rPr>
          <w:rFonts w:ascii="Times New Roman" w:hAnsi="Times New Roman" w:cs="Times New Roman"/>
          <w:color w:val="000000"/>
        </w:rPr>
        <w:t>Prihvatljivo vrijeme isplate bespovratnih sredstava</w:t>
      </w:r>
      <w:r w:rsidR="00EB502C">
        <w:rPr>
          <w:rFonts w:ascii="Times New Roman" w:hAnsi="Times New Roman" w:cs="Times New Roman"/>
          <w:color w:val="000000"/>
        </w:rPr>
        <w:t xml:space="preserve"> temeljem z</w:t>
      </w:r>
      <w:r w:rsidR="003501D1" w:rsidRPr="003F620D">
        <w:rPr>
          <w:rFonts w:ascii="Times New Roman" w:hAnsi="Times New Roman" w:cs="Times New Roman"/>
          <w:color w:val="000000"/>
        </w:rPr>
        <w:t xml:space="preserve">ahtjeva za nadoknadu sredstava započinje datumom stupanja </w:t>
      </w:r>
      <w:r w:rsidR="00EB502C">
        <w:rPr>
          <w:rFonts w:ascii="Times New Roman" w:hAnsi="Times New Roman" w:cs="Times New Roman"/>
          <w:color w:val="000000"/>
        </w:rPr>
        <w:t xml:space="preserve">ovog </w:t>
      </w:r>
      <w:r w:rsidR="003501D1" w:rsidRPr="003F620D">
        <w:rPr>
          <w:rFonts w:ascii="Times New Roman" w:hAnsi="Times New Roman" w:cs="Times New Roman"/>
          <w:color w:val="000000"/>
        </w:rPr>
        <w:t>Ugovora na snagu</w:t>
      </w:r>
      <w:r w:rsidRPr="003F620D">
        <w:rPr>
          <w:rFonts w:ascii="Times New Roman" w:hAnsi="Times New Roman" w:cs="Times New Roman"/>
          <w:color w:val="000000"/>
        </w:rPr>
        <w:t xml:space="preserve"> i završava najkasnije 19. srpnja 2016. godine. </w:t>
      </w:r>
    </w:p>
    <w:p w14:paraId="5DDBA7EB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7B1A094" w14:textId="75912F97" w:rsidR="00311E20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Iznos bespovratnih sredstava, postotak sufinanciranja i uređenje plaćanja</w:t>
      </w:r>
    </w:p>
    <w:p w14:paraId="0CBD87EB" w14:textId="77777777" w:rsidR="00C6057E" w:rsidRDefault="00C6057E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46A1E16" w14:textId="14E8DD3D" w:rsidR="00311E20" w:rsidRPr="003F620D" w:rsidRDefault="00E707D6" w:rsidP="00C6057E">
      <w:pPr>
        <w:jc w:val="center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Članak 3.</w:t>
      </w:r>
    </w:p>
    <w:p w14:paraId="56112767" w14:textId="061D8694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3.1. Ukupni prihvatljivi troškovi se procjenjuju na </w:t>
      </w:r>
      <w:r w:rsidRPr="004523D5">
        <w:rPr>
          <w:rFonts w:ascii="Times New Roman" w:hAnsi="Times New Roman" w:cs="Times New Roman"/>
          <w:color w:val="000000"/>
          <w:highlight w:val="lightGray"/>
        </w:rPr>
        <w:t xml:space="preserve">&lt;… </w:t>
      </w:r>
      <w:r w:rsidR="00BB1DA2" w:rsidRPr="004523D5">
        <w:rPr>
          <w:rFonts w:ascii="Times New Roman" w:hAnsi="Times New Roman" w:cs="Times New Roman"/>
          <w:color w:val="000000"/>
          <w:highlight w:val="lightGray"/>
        </w:rPr>
        <w:t>HRK</w:t>
      </w:r>
      <w:r w:rsidRPr="004523D5">
        <w:rPr>
          <w:rFonts w:ascii="Times New Roman" w:hAnsi="Times New Roman" w:cs="Times New Roman"/>
          <w:color w:val="000000"/>
          <w:highlight w:val="lightGray"/>
        </w:rPr>
        <w:t>&gt;</w:t>
      </w:r>
      <w:r w:rsidRPr="003F620D">
        <w:rPr>
          <w:rFonts w:ascii="Times New Roman" w:hAnsi="Times New Roman" w:cs="Times New Roman"/>
          <w:color w:val="000000"/>
        </w:rPr>
        <w:t>, kao što je utvrđeno u Prilogu "JP sajmovi GKPP".</w:t>
      </w:r>
    </w:p>
    <w:p w14:paraId="6B218C75" w14:textId="377D8C9C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3.2. Grad Korčula dodjeljuje bespovratna sredstva od </w:t>
      </w:r>
      <w:r w:rsidRPr="004523D5">
        <w:rPr>
          <w:rFonts w:ascii="Times New Roman" w:hAnsi="Times New Roman" w:cs="Times New Roman"/>
          <w:color w:val="000000"/>
          <w:highlight w:val="lightGray"/>
        </w:rPr>
        <w:t>&lt;…</w:t>
      </w:r>
      <w:r w:rsidR="00BB1DA2" w:rsidRPr="004523D5">
        <w:rPr>
          <w:rFonts w:ascii="Times New Roman" w:hAnsi="Times New Roman" w:cs="Times New Roman"/>
          <w:color w:val="000000"/>
          <w:highlight w:val="lightGray"/>
        </w:rPr>
        <w:t>HRK</w:t>
      </w:r>
      <w:r w:rsidRPr="004523D5">
        <w:rPr>
          <w:rFonts w:ascii="Times New Roman" w:hAnsi="Times New Roman" w:cs="Times New Roman"/>
          <w:color w:val="000000"/>
          <w:highlight w:val="lightGray"/>
        </w:rPr>
        <w:t>&gt;</w:t>
      </w:r>
      <w:r w:rsidRPr="003F620D">
        <w:rPr>
          <w:rFonts w:ascii="Times New Roman" w:hAnsi="Times New Roman" w:cs="Times New Roman"/>
          <w:color w:val="000000"/>
        </w:rPr>
        <w:t xml:space="preserve"> što je najviši mogući iznos sufinanciranja ukupno procijenjenih prihvatljivih troškova utvrđenih u točki 3.1. Bespovratna sredstva potječu iz Europskog socijalnog fonda i Državnog proračuna Republike Hrvatske.</w:t>
      </w:r>
    </w:p>
    <w:p w14:paraId="01164FE1" w14:textId="0FFFBA82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Konačni iznos </w:t>
      </w:r>
      <w:r w:rsidR="00D1495E">
        <w:rPr>
          <w:rFonts w:ascii="Times New Roman" w:hAnsi="Times New Roman" w:cs="Times New Roman"/>
          <w:color w:val="000000"/>
        </w:rPr>
        <w:t>bespovratnih sredstava</w:t>
      </w:r>
      <w:r w:rsidRPr="003F620D">
        <w:rPr>
          <w:rFonts w:ascii="Times New Roman" w:hAnsi="Times New Roman" w:cs="Times New Roman"/>
          <w:color w:val="000000"/>
        </w:rPr>
        <w:t xml:space="preserve"> koji će isplatiti Grad Korčula utvrđuje se u skladu s člankom 5. </w:t>
      </w:r>
      <w:r w:rsidR="00EB502C">
        <w:rPr>
          <w:rFonts w:ascii="Times New Roman" w:hAnsi="Times New Roman" w:cs="Times New Roman"/>
          <w:color w:val="000000"/>
        </w:rPr>
        <w:t xml:space="preserve">ovog </w:t>
      </w:r>
      <w:r w:rsidRPr="003F620D">
        <w:rPr>
          <w:rFonts w:ascii="Times New Roman" w:hAnsi="Times New Roman" w:cs="Times New Roman"/>
          <w:color w:val="000000"/>
        </w:rPr>
        <w:t xml:space="preserve">Ugovora. </w:t>
      </w:r>
    </w:p>
    <w:p w14:paraId="50032974" w14:textId="4225EF49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3.3. Korisnik se obvezuje osigurati plaćanja iz vlastitih izvora kako bi pokrio troškove, koji nisu pokriveni bespovratnim sredstvima ili bilo kojim njihovim dijelom. </w:t>
      </w:r>
    </w:p>
    <w:p w14:paraId="245A2242" w14:textId="665DF8AF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3.4. Poduzetnik je raz</w:t>
      </w:r>
      <w:r w:rsidR="00EB502C">
        <w:rPr>
          <w:rFonts w:ascii="Times New Roman" w:hAnsi="Times New Roman" w:cs="Times New Roman"/>
          <w:color w:val="000000"/>
        </w:rPr>
        <w:t>umio i slaže se da je ovlašten z</w:t>
      </w:r>
      <w:r w:rsidRPr="003F620D">
        <w:rPr>
          <w:rFonts w:ascii="Times New Roman" w:hAnsi="Times New Roman" w:cs="Times New Roman"/>
          <w:color w:val="000000"/>
        </w:rPr>
        <w:t>ahtjev za nadoknadu sredstava podnijeti po metodi nadoknada tj. samo za prethodno nastale i podmirene troškove sudjelovanja poduzetnika na sajmu.</w:t>
      </w:r>
    </w:p>
    <w:p w14:paraId="3761171E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0E0F81F" w14:textId="034CE104" w:rsidR="00311E20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Prihvatljivi i neprihvatljivi troškovi</w:t>
      </w:r>
    </w:p>
    <w:p w14:paraId="43617475" w14:textId="77777777" w:rsidR="00C6057E" w:rsidRDefault="00C6057E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19B954D" w14:textId="4E131C1F" w:rsidR="00311E20" w:rsidRPr="003F620D" w:rsidRDefault="00C6057E" w:rsidP="00C605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Članak 4.</w:t>
      </w:r>
    </w:p>
    <w:p w14:paraId="08BB953A" w14:textId="77777777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lastRenderedPageBreak/>
        <w:t>4.1. Prihvatljivi troškovi su:</w:t>
      </w:r>
    </w:p>
    <w:p w14:paraId="1F5874EA" w14:textId="77777777" w:rsidR="00311E20" w:rsidRPr="003F620D" w:rsidRDefault="00E707D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trošak kotizacije za sudjelovanje na sajmu,</w:t>
      </w:r>
    </w:p>
    <w:p w14:paraId="7DA95FEF" w14:textId="4942B6EA" w:rsidR="00100A1A" w:rsidRPr="003F620D" w:rsidRDefault="00100A1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trošak najma štanda,</w:t>
      </w:r>
    </w:p>
    <w:p w14:paraId="1F89FA3E" w14:textId="77777777" w:rsidR="00311E20" w:rsidRPr="003F620D" w:rsidRDefault="00E707D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trošak smještaja do kategorije tri zvjezdice,</w:t>
      </w:r>
    </w:p>
    <w:p w14:paraId="0B51F012" w14:textId="77777777" w:rsidR="00311E20" w:rsidRPr="003F620D" w:rsidRDefault="00E707D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troškovi prijevoza i cestarina (kod prijevoza vlakom i zrakoplovom prihvatljiv je trošak za kartu ekonomske klase, a kod prijevoza vozilom prihvatljiv je iznos od 2 kn po kilometru, prihvatljivi su i troškovi plovila, autoputa, mostarina i tunelarina),</w:t>
      </w:r>
    </w:p>
    <w:p w14:paraId="6173AA52" w14:textId="25921B37" w:rsidR="00311E20" w:rsidRPr="003F620D" w:rsidRDefault="00E707D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troškovi dnevnica do iznosa maksimalne neoporezive dnevnice definirane Pravilnikom o porezu na dohoda</w:t>
      </w:r>
      <w:r w:rsidR="00100A1A" w:rsidRPr="003F620D">
        <w:rPr>
          <w:rFonts w:ascii="Times New Roman" w:hAnsi="Times New Roman" w:cs="Times New Roman"/>
          <w:color w:val="000000"/>
        </w:rPr>
        <w:t>k,</w:t>
      </w:r>
    </w:p>
    <w:p w14:paraId="3C91149F" w14:textId="77777777" w:rsidR="00100A1A" w:rsidRPr="003F620D" w:rsidRDefault="00100A1A" w:rsidP="00100A1A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koji su nastali u razdoblju od </w:t>
      </w:r>
      <w:r w:rsidRPr="003F620D">
        <w:rPr>
          <w:rFonts w:ascii="Times New Roman" w:hAnsi="Times New Roman" w:cs="Times New Roman"/>
        </w:rPr>
        <w:t>20. srpnja 2015. do 30. lipnja 2016.</w:t>
      </w:r>
    </w:p>
    <w:p w14:paraId="5DB730A0" w14:textId="77777777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</w:rPr>
        <w:t>4.2. Neprihvatljivi troškovi su:</w:t>
      </w:r>
    </w:p>
    <w:p w14:paraId="57D16109" w14:textId="3E1A41D1" w:rsidR="00311E20" w:rsidRPr="003F620D" w:rsidRDefault="00E707D6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</w:rPr>
        <w:t>troškovi nastali prije 20. srpnja 2015. i nakon 30. lipnja 2016</w:t>
      </w:r>
      <w:r w:rsidR="00EB502C">
        <w:rPr>
          <w:rFonts w:ascii="Times New Roman" w:hAnsi="Times New Roman" w:cs="Times New Roman"/>
        </w:rPr>
        <w:t>.</w:t>
      </w:r>
      <w:r w:rsidRPr="003F620D">
        <w:rPr>
          <w:rFonts w:ascii="Times New Roman" w:hAnsi="Times New Roman" w:cs="Times New Roman"/>
        </w:rPr>
        <w:t>,</w:t>
      </w:r>
    </w:p>
    <w:p w14:paraId="16847A3A" w14:textId="712AE086" w:rsidR="00311E20" w:rsidRPr="003F620D" w:rsidRDefault="00E707D6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</w:rPr>
        <w:t>PDV koji je povrativ</w:t>
      </w:r>
      <w:r w:rsidR="00100A1A" w:rsidRPr="003F620D">
        <w:rPr>
          <w:rFonts w:ascii="Times New Roman" w:hAnsi="Times New Roman" w:cs="Times New Roman"/>
        </w:rPr>
        <w:t>,</w:t>
      </w:r>
    </w:p>
    <w:p w14:paraId="7351C262" w14:textId="77777777" w:rsidR="00311E20" w:rsidRPr="003F620D" w:rsidRDefault="00E707D6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</w:rPr>
        <w:t xml:space="preserve">troškovi hrane, pića i </w:t>
      </w:r>
      <w:proofErr w:type="spellStart"/>
      <w:r w:rsidRPr="003F620D">
        <w:rPr>
          <w:rFonts w:ascii="Times New Roman" w:hAnsi="Times New Roman" w:cs="Times New Roman"/>
        </w:rPr>
        <w:t>cateringa</w:t>
      </w:r>
      <w:proofErr w:type="spellEnd"/>
      <w:r w:rsidRPr="003F620D">
        <w:rPr>
          <w:rFonts w:ascii="Times New Roman" w:hAnsi="Times New Roman" w:cs="Times New Roman"/>
        </w:rPr>
        <w:t>,</w:t>
      </w:r>
    </w:p>
    <w:p w14:paraId="229B161A" w14:textId="105BCC84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svi ostali troškovi koji nisu vezani isključivo uz nastup na sajmu</w:t>
      </w:r>
      <w:r w:rsidR="00EB502C">
        <w:rPr>
          <w:rFonts w:ascii="Times New Roman" w:hAnsi="Times New Roman" w:cs="Times New Roman"/>
          <w:color w:val="000000"/>
        </w:rPr>
        <w:t>.</w:t>
      </w:r>
    </w:p>
    <w:p w14:paraId="32AB9786" w14:textId="1B67B7F2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4.3. Prihvatljivi  dokumenti za dokazivanje nastanka i plaćanja troškova su presli</w:t>
      </w:r>
      <w:r w:rsidR="00F57FD5" w:rsidRPr="003F620D">
        <w:rPr>
          <w:rFonts w:ascii="Times New Roman" w:hAnsi="Times New Roman" w:cs="Times New Roman"/>
          <w:color w:val="000000"/>
        </w:rPr>
        <w:t>ke</w:t>
      </w:r>
      <w:r w:rsidRPr="003F620D">
        <w:rPr>
          <w:rFonts w:ascii="Times New Roman" w:hAnsi="Times New Roman" w:cs="Times New Roman"/>
          <w:color w:val="000000"/>
        </w:rPr>
        <w:t xml:space="preserve"> sljedećih dokumenata:</w:t>
      </w:r>
    </w:p>
    <w:p w14:paraId="7BE0AC5E" w14:textId="48F92FBC" w:rsidR="00311E20" w:rsidRPr="003F620D" w:rsidRDefault="00345EA6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</w:t>
      </w:r>
      <w:r w:rsidR="00E707D6" w:rsidRPr="003F620D">
        <w:rPr>
          <w:rFonts w:ascii="Times New Roman" w:hAnsi="Times New Roman" w:cs="Times New Roman"/>
          <w:color w:val="000000"/>
        </w:rPr>
        <w:t>utni nalog i putni obračun</w:t>
      </w:r>
      <w:r>
        <w:rPr>
          <w:rFonts w:ascii="Times New Roman" w:hAnsi="Times New Roman" w:cs="Times New Roman"/>
          <w:color w:val="000000"/>
        </w:rPr>
        <w:t>,</w:t>
      </w:r>
    </w:p>
    <w:p w14:paraId="7541974B" w14:textId="178F53DB" w:rsidR="00311E20" w:rsidRPr="003F620D" w:rsidRDefault="00345EA6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i</w:t>
      </w:r>
      <w:r w:rsidR="00E707D6" w:rsidRPr="003F620D">
        <w:rPr>
          <w:rFonts w:ascii="Times New Roman" w:hAnsi="Times New Roman" w:cs="Times New Roman"/>
          <w:color w:val="000000"/>
        </w:rPr>
        <w:t>sprave kojima se dokazuju izdaci u putnom nalogu i obračunu (računi za cestari</w:t>
      </w:r>
      <w:r>
        <w:rPr>
          <w:rFonts w:ascii="Times New Roman" w:hAnsi="Times New Roman" w:cs="Times New Roman"/>
          <w:color w:val="000000"/>
        </w:rPr>
        <w:t>nu/tunelarinu/mostarinu i sl.)/račun za noćenje/e</w:t>
      </w:r>
      <w:r w:rsidR="00E707D6" w:rsidRPr="003F620D">
        <w:rPr>
          <w:rFonts w:ascii="Times New Roman" w:hAnsi="Times New Roman" w:cs="Times New Roman"/>
          <w:color w:val="000000"/>
        </w:rPr>
        <w:t>videncija koriš</w:t>
      </w:r>
      <w:r>
        <w:rPr>
          <w:rFonts w:ascii="Times New Roman" w:hAnsi="Times New Roman" w:cs="Times New Roman"/>
          <w:color w:val="000000"/>
        </w:rPr>
        <w:t>tenja vozila (privatno vozilo)/p</w:t>
      </w:r>
      <w:r w:rsidR="00E707D6" w:rsidRPr="003F620D">
        <w:rPr>
          <w:rFonts w:ascii="Times New Roman" w:hAnsi="Times New Roman" w:cs="Times New Roman"/>
          <w:color w:val="000000"/>
        </w:rPr>
        <w:t>utni radni list sa naznačenom prosječnom potrošnjom (službeno vozilo)/</w:t>
      </w:r>
      <w:r>
        <w:rPr>
          <w:rFonts w:ascii="Times New Roman" w:hAnsi="Times New Roman" w:cs="Times New Roman"/>
          <w:color w:val="000000"/>
        </w:rPr>
        <w:t>p</w:t>
      </w:r>
      <w:r w:rsidR="00E707D6" w:rsidRPr="003F620D">
        <w:rPr>
          <w:rFonts w:ascii="Times New Roman" w:hAnsi="Times New Roman" w:cs="Times New Roman"/>
          <w:color w:val="000000"/>
        </w:rPr>
        <w:t>utna karta/</w:t>
      </w:r>
      <w:r>
        <w:rPr>
          <w:rFonts w:ascii="Times New Roman" w:hAnsi="Times New Roman" w:cs="Times New Roman"/>
          <w:color w:val="000000"/>
        </w:rPr>
        <w:t>p</w:t>
      </w:r>
      <w:r w:rsidR="00E707D6" w:rsidRPr="003F620D">
        <w:rPr>
          <w:rFonts w:ascii="Times New Roman" w:hAnsi="Times New Roman" w:cs="Times New Roman"/>
          <w:color w:val="000000"/>
        </w:rPr>
        <w:t>otvrda prijevoznika</w:t>
      </w:r>
      <w:r>
        <w:rPr>
          <w:rFonts w:ascii="Times New Roman" w:hAnsi="Times New Roman" w:cs="Times New Roman"/>
          <w:color w:val="000000"/>
        </w:rPr>
        <w:t>,</w:t>
      </w:r>
    </w:p>
    <w:p w14:paraId="70560FE7" w14:textId="3171C406" w:rsidR="00311E20" w:rsidRPr="003F620D" w:rsidRDefault="00345EA6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u</w:t>
      </w:r>
      <w:r w:rsidR="00E707D6" w:rsidRPr="003F620D">
        <w:rPr>
          <w:rFonts w:ascii="Times New Roman" w:hAnsi="Times New Roman" w:cs="Times New Roman"/>
          <w:color w:val="000000"/>
        </w:rPr>
        <w:t>govor o pružanju usluga (pravna/fizička osoba)/</w:t>
      </w:r>
      <w:r>
        <w:rPr>
          <w:rFonts w:ascii="Times New Roman" w:hAnsi="Times New Roman" w:cs="Times New Roman"/>
          <w:color w:val="000000"/>
        </w:rPr>
        <w:t>r</w:t>
      </w:r>
      <w:r w:rsidR="00E707D6" w:rsidRPr="003F620D">
        <w:rPr>
          <w:rFonts w:ascii="Times New Roman" w:hAnsi="Times New Roman" w:cs="Times New Roman"/>
          <w:color w:val="000000"/>
        </w:rPr>
        <w:t>ačun</w:t>
      </w:r>
      <w:r>
        <w:rPr>
          <w:rFonts w:ascii="Times New Roman" w:hAnsi="Times New Roman" w:cs="Times New Roman"/>
          <w:color w:val="000000"/>
        </w:rPr>
        <w:t>,</w:t>
      </w:r>
    </w:p>
    <w:p w14:paraId="30AD1445" w14:textId="09C03762" w:rsidR="00311E20" w:rsidRPr="003F620D" w:rsidRDefault="00345EA6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dokument plaćanja troška: bankovni izvod/blagajnički izvještaj/i</w:t>
      </w:r>
      <w:r w:rsidR="00E707D6" w:rsidRPr="003F620D">
        <w:rPr>
          <w:rFonts w:ascii="Times New Roman" w:hAnsi="Times New Roman" w:cs="Times New Roman"/>
          <w:color w:val="000000"/>
        </w:rPr>
        <w:t>splatnica</w:t>
      </w:r>
    </w:p>
    <w:p w14:paraId="34D54A32" w14:textId="1D749FDD" w:rsidR="005F38C9" w:rsidRPr="003F620D" w:rsidRDefault="00345EA6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f</w:t>
      </w:r>
      <w:r w:rsidR="005F38C9" w:rsidRPr="003F620D">
        <w:rPr>
          <w:rFonts w:ascii="Times New Roman" w:hAnsi="Times New Roman" w:cs="Times New Roman"/>
          <w:color w:val="000000"/>
        </w:rPr>
        <w:t>otografij</w:t>
      </w:r>
      <w:r w:rsidR="00100A1A" w:rsidRPr="003F620D">
        <w:rPr>
          <w:rFonts w:ascii="Times New Roman" w:hAnsi="Times New Roman" w:cs="Times New Roman"/>
          <w:color w:val="000000"/>
        </w:rPr>
        <w:t>a</w:t>
      </w:r>
      <w:r w:rsidR="005F38C9" w:rsidRPr="003F620D">
        <w:rPr>
          <w:rFonts w:ascii="Times New Roman" w:hAnsi="Times New Roman" w:cs="Times New Roman"/>
          <w:color w:val="000000"/>
        </w:rPr>
        <w:t xml:space="preserve"> štanda na sajmu sa prikazanim elementima vidljivosti sukladno članku 8.1.</w:t>
      </w:r>
    </w:p>
    <w:p w14:paraId="6573835A" w14:textId="5B0A1C90" w:rsidR="00F03559" w:rsidRPr="003F620D" w:rsidRDefault="00F03559" w:rsidP="00F03559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4.4. Svi dokumenti iz</w:t>
      </w:r>
      <w:r w:rsidR="00345EA6">
        <w:rPr>
          <w:rFonts w:ascii="Times New Roman" w:hAnsi="Times New Roman" w:cs="Times New Roman"/>
          <w:color w:val="000000"/>
        </w:rPr>
        <w:t xml:space="preserve"> članka 4.3. moraju glasiti na p</w:t>
      </w:r>
      <w:r w:rsidRPr="003F620D">
        <w:rPr>
          <w:rFonts w:ascii="Times New Roman" w:hAnsi="Times New Roman" w:cs="Times New Roman"/>
          <w:color w:val="000000"/>
        </w:rPr>
        <w:t>oduzetnika.</w:t>
      </w:r>
    </w:p>
    <w:p w14:paraId="117C5797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AEF5E93" w14:textId="43B4FDE0" w:rsidR="00311E20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Zahtjev za nadoknadom sredstava</w:t>
      </w:r>
    </w:p>
    <w:p w14:paraId="1C9CB892" w14:textId="77777777" w:rsidR="00C6057E" w:rsidRDefault="00C6057E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C0C207E" w14:textId="49AA12B6" w:rsidR="00311E20" w:rsidRPr="003F620D" w:rsidRDefault="00C6057E" w:rsidP="00C605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Članak 5.</w:t>
      </w:r>
    </w:p>
    <w:p w14:paraId="08475B9E" w14:textId="2C9F7845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5.1. </w:t>
      </w:r>
      <w:r w:rsidR="00100A1A" w:rsidRPr="003F620D">
        <w:rPr>
          <w:rFonts w:ascii="Times New Roman" w:hAnsi="Times New Roman" w:cs="Times New Roman"/>
          <w:color w:val="000000"/>
        </w:rPr>
        <w:t>Zahtjev za nadoknadom sredstava podnosi se 7 dana od dana završetka održavanja</w:t>
      </w:r>
      <w:r w:rsidR="0037757A">
        <w:rPr>
          <w:rFonts w:ascii="Times New Roman" w:hAnsi="Times New Roman" w:cs="Times New Roman"/>
          <w:color w:val="000000"/>
        </w:rPr>
        <w:t xml:space="preserve"> sajma a najkasnije 07. srpnja .2016.</w:t>
      </w:r>
      <w:r w:rsidR="00100A1A" w:rsidRPr="003F620D">
        <w:rPr>
          <w:rFonts w:ascii="Times New Roman" w:hAnsi="Times New Roman" w:cs="Times New Roman"/>
          <w:color w:val="000000"/>
        </w:rPr>
        <w:t xml:space="preserve"> </w:t>
      </w:r>
      <w:r w:rsidRPr="003F620D">
        <w:rPr>
          <w:rFonts w:ascii="Times New Roman" w:hAnsi="Times New Roman" w:cs="Times New Roman"/>
          <w:color w:val="000000"/>
        </w:rPr>
        <w:t xml:space="preserve">kako bi Grad Korčula </w:t>
      </w:r>
      <w:r w:rsidR="002F073A">
        <w:rPr>
          <w:rFonts w:ascii="Times New Roman" w:hAnsi="Times New Roman" w:cs="Times New Roman"/>
          <w:color w:val="000000"/>
        </w:rPr>
        <w:t>nadoknadio</w:t>
      </w:r>
      <w:r w:rsidRPr="003F620D">
        <w:rPr>
          <w:rFonts w:ascii="Times New Roman" w:hAnsi="Times New Roman" w:cs="Times New Roman"/>
          <w:color w:val="000000"/>
        </w:rPr>
        <w:t xml:space="preserve"> prihvatljive troškove.</w:t>
      </w:r>
    </w:p>
    <w:p w14:paraId="336B207E" w14:textId="2FCA49B5" w:rsidR="003501D1" w:rsidRPr="003F620D" w:rsidRDefault="003501D1" w:rsidP="003501D1">
      <w:pPr>
        <w:jc w:val="both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color w:val="000000"/>
        </w:rPr>
        <w:t>5.2. Zahtjev za nadoknadu sredstava (obrazac "ZNS sajmovi GKPP" s obveznom dokumentacijom) podnosi se:</w:t>
      </w:r>
    </w:p>
    <w:p w14:paraId="6841D64B" w14:textId="70D02FF9" w:rsidR="003501D1" w:rsidRPr="008D0D55" w:rsidRDefault="003501D1" w:rsidP="008D0D5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</w:rPr>
      </w:pPr>
      <w:r w:rsidRPr="008D0D55">
        <w:rPr>
          <w:rFonts w:ascii="Times New Roman" w:hAnsi="Times New Roman" w:cs="Times New Roman"/>
          <w:color w:val="000000"/>
        </w:rPr>
        <w:t xml:space="preserve">preporučeno putem pošte na adresu Grad Korčula, 20260 Korčula, Trg Antuna i Stjepana Radića 1, s naznakom </w:t>
      </w:r>
      <w:r w:rsidRPr="008D0D55">
        <w:rPr>
          <w:rFonts w:ascii="Times New Roman" w:hAnsi="Times New Roman" w:cs="Times New Roman"/>
          <w:b/>
          <w:color w:val="000000"/>
        </w:rPr>
        <w:t>„Zahtjev za nadoknadom troškova sudjelovanja poduzetnika na domaćim i inozemnim sajmovima“</w:t>
      </w:r>
      <w:r w:rsidRPr="008D0D55">
        <w:rPr>
          <w:rFonts w:ascii="Times New Roman" w:hAnsi="Times New Roman" w:cs="Times New Roman"/>
          <w:color w:val="000000"/>
        </w:rPr>
        <w:t xml:space="preserve">. Vanjska omotnica mora sadržavati puno ime i adresu podnositelja prijave s vidljivim datumom predaje pošiljke u poštanski ured. Datum predaje pošiljke u poštanski ured na vanjskoj omotnici smatrat će se trenutkom podnošenja </w:t>
      </w:r>
      <w:r w:rsidR="00100A1A" w:rsidRPr="008D0D55">
        <w:rPr>
          <w:rFonts w:ascii="Times New Roman" w:hAnsi="Times New Roman" w:cs="Times New Roman"/>
          <w:color w:val="000000"/>
        </w:rPr>
        <w:t>zahtjeva za nadoknadom sredstava</w:t>
      </w:r>
      <w:r w:rsidR="008D0D55" w:rsidRPr="008D0D55">
        <w:rPr>
          <w:rFonts w:ascii="Times New Roman" w:hAnsi="Times New Roman" w:cs="Times New Roman"/>
          <w:color w:val="000000"/>
        </w:rPr>
        <w:t>,</w:t>
      </w:r>
    </w:p>
    <w:p w14:paraId="349267B5" w14:textId="7DCD671A" w:rsidR="00311E20" w:rsidRPr="008D0D55" w:rsidRDefault="008D0D55" w:rsidP="008D0D5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</w:rPr>
      </w:pPr>
      <w:r w:rsidRPr="008D0D55">
        <w:rPr>
          <w:rFonts w:ascii="Times New Roman" w:hAnsi="Times New Roman" w:cs="Times New Roman"/>
          <w:color w:val="000000"/>
        </w:rPr>
        <w:t>i</w:t>
      </w:r>
      <w:r w:rsidR="003501D1" w:rsidRPr="008D0D55">
        <w:rPr>
          <w:rFonts w:ascii="Times New Roman" w:hAnsi="Times New Roman" w:cs="Times New Roman"/>
          <w:color w:val="000000"/>
        </w:rPr>
        <w:t xml:space="preserve">li u zatvorenoj omotnici neposredno u pisarnicu Grada Korčule, 20260 Korčula, Trg Antuna i Stjepana Radića 1, s naznakom </w:t>
      </w:r>
      <w:r w:rsidR="003501D1" w:rsidRPr="008D0D55">
        <w:rPr>
          <w:rFonts w:ascii="Times New Roman" w:hAnsi="Times New Roman" w:cs="Times New Roman"/>
          <w:b/>
          <w:color w:val="000000"/>
        </w:rPr>
        <w:t>„Zahtjev za nadoknadom troškova sudjelovanja poduzetnika na domaćim i inozemnim sajmovima“</w:t>
      </w:r>
      <w:r w:rsidR="003501D1" w:rsidRPr="008D0D55">
        <w:rPr>
          <w:rFonts w:ascii="Times New Roman" w:hAnsi="Times New Roman" w:cs="Times New Roman"/>
          <w:color w:val="000000"/>
        </w:rPr>
        <w:t xml:space="preserve">. Na poleđini omotnice treba naznačiti naziv i adresu prijavitelja. Ovjereno vrijeme primitka na vanjskoj omotnici smatrat će se trenutkom podnošenja </w:t>
      </w:r>
      <w:r w:rsidR="00100A1A" w:rsidRPr="008D0D55">
        <w:rPr>
          <w:rFonts w:ascii="Times New Roman" w:hAnsi="Times New Roman" w:cs="Times New Roman"/>
          <w:color w:val="000000"/>
        </w:rPr>
        <w:t>zahtjeva za nadoknadom sredstava</w:t>
      </w:r>
      <w:r w:rsidR="003501D1" w:rsidRPr="008D0D55">
        <w:rPr>
          <w:rFonts w:ascii="Times New Roman" w:hAnsi="Times New Roman" w:cs="Times New Roman"/>
          <w:color w:val="000000"/>
        </w:rPr>
        <w:t>.</w:t>
      </w:r>
    </w:p>
    <w:p w14:paraId="6FA16424" w14:textId="6349DF06" w:rsidR="00311E20" w:rsidRPr="003F620D" w:rsidRDefault="00E707D6" w:rsidP="00100A1A">
      <w:pPr>
        <w:jc w:val="both"/>
        <w:rPr>
          <w:rFonts w:ascii="Times New Roman" w:hAnsi="Times New Roman" w:cs="Times New Roman"/>
        </w:rPr>
      </w:pPr>
      <w:bookmarkStart w:id="0" w:name="__DdeLink__1936_1409905717"/>
      <w:r w:rsidRPr="003F620D">
        <w:rPr>
          <w:rFonts w:ascii="Times New Roman" w:hAnsi="Times New Roman" w:cs="Times New Roman"/>
          <w:color w:val="000000"/>
        </w:rPr>
        <w:t>5.3.</w:t>
      </w:r>
      <w:bookmarkEnd w:id="0"/>
      <w:r w:rsidRPr="003F620D">
        <w:rPr>
          <w:rFonts w:ascii="Times New Roman" w:hAnsi="Times New Roman" w:cs="Times New Roman"/>
          <w:color w:val="000000"/>
        </w:rPr>
        <w:t xml:space="preserve"> Uz zahtjev za nadoknadu sredstava poduzetnik je dužan priložiti i dokaze o stvarno nastalim i plaćenim troškovima kako je</w:t>
      </w:r>
      <w:r w:rsidR="00345EA6">
        <w:rPr>
          <w:rFonts w:ascii="Times New Roman" w:hAnsi="Times New Roman" w:cs="Times New Roman"/>
          <w:color w:val="000000"/>
        </w:rPr>
        <w:t xml:space="preserve"> definirano člankom 4.3. ovoga U</w:t>
      </w:r>
      <w:r w:rsidRPr="003F620D">
        <w:rPr>
          <w:rFonts w:ascii="Times New Roman" w:hAnsi="Times New Roman" w:cs="Times New Roman"/>
          <w:color w:val="000000"/>
        </w:rPr>
        <w:t>govora.</w:t>
      </w:r>
    </w:p>
    <w:p w14:paraId="1D8BADAB" w14:textId="7D26747C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5.4. Dokaz sudjelovanja poduzetnika na sajmu(račun za kotizaciju ili ovjerena potvrda o sudjelovanju poduzetnika izdana od organizatora sajma)</w:t>
      </w:r>
      <w:r w:rsidR="00EA7EAE">
        <w:rPr>
          <w:rFonts w:ascii="Times New Roman" w:hAnsi="Times New Roman" w:cs="Times New Roman"/>
          <w:color w:val="000000"/>
        </w:rPr>
        <w:t xml:space="preserve"> i fotografija sa vidljivim elementima informiranja vidljivosti prema čl. 8 Ugovora</w:t>
      </w:r>
      <w:r w:rsidRPr="003F620D">
        <w:rPr>
          <w:rFonts w:ascii="Times New Roman" w:hAnsi="Times New Roman" w:cs="Times New Roman"/>
          <w:color w:val="000000"/>
        </w:rPr>
        <w:t xml:space="preserve"> uvjet </w:t>
      </w:r>
      <w:r w:rsidR="00EA7EAE">
        <w:rPr>
          <w:rFonts w:ascii="Times New Roman" w:hAnsi="Times New Roman" w:cs="Times New Roman"/>
          <w:color w:val="000000"/>
        </w:rPr>
        <w:t>su</w:t>
      </w:r>
      <w:r w:rsidRPr="003F620D">
        <w:rPr>
          <w:rFonts w:ascii="Times New Roman" w:hAnsi="Times New Roman" w:cs="Times New Roman"/>
          <w:color w:val="000000"/>
        </w:rPr>
        <w:t xml:space="preserve"> za odobrenje z</w:t>
      </w:r>
      <w:r w:rsidR="00EA7EAE">
        <w:rPr>
          <w:rFonts w:ascii="Times New Roman" w:hAnsi="Times New Roman" w:cs="Times New Roman"/>
          <w:color w:val="000000"/>
        </w:rPr>
        <w:t>ahtjeva za nadoknadu sredstava</w:t>
      </w:r>
      <w:r w:rsidR="004523D5">
        <w:rPr>
          <w:rFonts w:ascii="Times New Roman" w:hAnsi="Times New Roman" w:cs="Times New Roman"/>
          <w:color w:val="000000"/>
        </w:rPr>
        <w:t>.</w:t>
      </w:r>
    </w:p>
    <w:p w14:paraId="129244E0" w14:textId="41CC57A7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5.5. Gra</w:t>
      </w:r>
      <w:r w:rsidR="003501D1" w:rsidRPr="003F620D">
        <w:rPr>
          <w:rFonts w:ascii="Times New Roman" w:hAnsi="Times New Roman" w:cs="Times New Roman"/>
          <w:color w:val="000000"/>
        </w:rPr>
        <w:t>d Korčula zadržava pravo da, elektroničkom poštom i telefonski</w:t>
      </w:r>
      <w:r w:rsidRPr="003F620D">
        <w:rPr>
          <w:rFonts w:ascii="Times New Roman" w:hAnsi="Times New Roman" w:cs="Times New Roman"/>
          <w:color w:val="000000"/>
        </w:rPr>
        <w:t xml:space="preserve">, zatraži dodatnu dokumentaciju ili pojašnjenje neke stavke troška. Ukoliko se poduzetnik ne odazove do roka za </w:t>
      </w:r>
      <w:r w:rsidRPr="003F620D">
        <w:rPr>
          <w:rFonts w:ascii="Times New Roman" w:hAnsi="Times New Roman" w:cs="Times New Roman"/>
          <w:color w:val="000000"/>
        </w:rPr>
        <w:lastRenderedPageBreak/>
        <w:t>donošenje odluke o prihvaćanju zahtjeva za nadoknadu, sporni trošak neće biti prihvaćen.</w:t>
      </w:r>
    </w:p>
    <w:p w14:paraId="1069115B" w14:textId="5CCB1C47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5.6. Grad Korčula odlučiti će o </w:t>
      </w:r>
      <w:r w:rsidR="00A3564E" w:rsidRPr="003F620D">
        <w:rPr>
          <w:rFonts w:ascii="Times New Roman" w:hAnsi="Times New Roman" w:cs="Times New Roman"/>
          <w:color w:val="000000"/>
        </w:rPr>
        <w:t xml:space="preserve">prihvaćanju </w:t>
      </w:r>
      <w:r w:rsidRPr="003F620D">
        <w:rPr>
          <w:rFonts w:ascii="Times New Roman" w:hAnsi="Times New Roman" w:cs="Times New Roman"/>
          <w:color w:val="000000"/>
        </w:rPr>
        <w:t>Zahtjeva za nadoknadu u roku od 15 radnih dana od dana zaprimanja zahtjeva za nadoknadom.</w:t>
      </w:r>
    </w:p>
    <w:p w14:paraId="29CB8A94" w14:textId="184CCF41" w:rsidR="00311E20" w:rsidRPr="003F620D" w:rsidRDefault="00CB514C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5.7. Odobrena sredst</w:t>
      </w:r>
      <w:r w:rsidR="00E707D6" w:rsidRPr="003F620D">
        <w:rPr>
          <w:rFonts w:ascii="Times New Roman" w:hAnsi="Times New Roman" w:cs="Times New Roman"/>
          <w:color w:val="000000"/>
        </w:rPr>
        <w:t xml:space="preserve">va biti će isplaćena na račun: </w:t>
      </w:r>
      <w:r w:rsidR="002D31E0" w:rsidRPr="004523D5">
        <w:rPr>
          <w:rFonts w:ascii="Times New Roman" w:hAnsi="Times New Roman" w:cs="Times New Roman"/>
          <w:color w:val="000000"/>
          <w:highlight w:val="lightGray"/>
        </w:rPr>
        <w:t>IBAN,</w:t>
      </w:r>
      <w:r w:rsidR="00033346" w:rsidRPr="004523D5">
        <w:rPr>
          <w:rFonts w:ascii="Times New Roman" w:hAnsi="Times New Roman" w:cs="Times New Roman"/>
          <w:color w:val="000000"/>
          <w:highlight w:val="lightGray"/>
        </w:rPr>
        <w:t xml:space="preserve"> Vlasnik računa=tvrtka, obrt ili OPG</w:t>
      </w:r>
      <w:r w:rsidR="00E707D6" w:rsidRPr="004523D5">
        <w:rPr>
          <w:rFonts w:ascii="Times New Roman" w:hAnsi="Times New Roman" w:cs="Times New Roman"/>
          <w:color w:val="000000"/>
          <w:highlight w:val="lightGray"/>
        </w:rPr>
        <w:t>.</w:t>
      </w:r>
    </w:p>
    <w:p w14:paraId="0E7D2382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090244A" w14:textId="09E76E3F" w:rsidR="00311E20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Ostali uvjeti</w:t>
      </w:r>
    </w:p>
    <w:p w14:paraId="1DC1F595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4CCDA2A" w14:textId="34F70E60" w:rsidR="00311E20" w:rsidRPr="003F620D" w:rsidRDefault="00C6057E" w:rsidP="00C605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Članak 6.</w:t>
      </w:r>
    </w:p>
    <w:p w14:paraId="6E963D5C" w14:textId="4DFAB021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6.</w:t>
      </w:r>
      <w:r w:rsidR="009B35EF" w:rsidRPr="003F620D">
        <w:rPr>
          <w:rFonts w:ascii="Times New Roman" w:hAnsi="Times New Roman" w:cs="Times New Roman"/>
          <w:color w:val="000000"/>
        </w:rPr>
        <w:t>1</w:t>
      </w:r>
      <w:r w:rsidRPr="003F620D">
        <w:rPr>
          <w:rFonts w:ascii="Times New Roman" w:hAnsi="Times New Roman" w:cs="Times New Roman"/>
          <w:color w:val="000000"/>
        </w:rPr>
        <w:t>. Poduzetnik je razumio i potvrđuje da će sve do</w:t>
      </w:r>
      <w:r w:rsidR="00345EA6">
        <w:rPr>
          <w:rFonts w:ascii="Times New Roman" w:hAnsi="Times New Roman" w:cs="Times New Roman"/>
          <w:color w:val="000000"/>
        </w:rPr>
        <w:t>kumente vezane uz predmet ovog U</w:t>
      </w:r>
      <w:r w:rsidRPr="003F620D">
        <w:rPr>
          <w:rFonts w:ascii="Times New Roman" w:hAnsi="Times New Roman" w:cs="Times New Roman"/>
          <w:color w:val="000000"/>
        </w:rPr>
        <w:t xml:space="preserve">govora, posebno dokumente iz članka 4. </w:t>
      </w:r>
      <w:r w:rsidR="00345EA6">
        <w:rPr>
          <w:rFonts w:ascii="Times New Roman" w:hAnsi="Times New Roman" w:cs="Times New Roman"/>
          <w:color w:val="000000"/>
        </w:rPr>
        <w:t xml:space="preserve">ovog Ugovora </w:t>
      </w:r>
      <w:r w:rsidRPr="003F620D">
        <w:rPr>
          <w:rFonts w:ascii="Times New Roman" w:hAnsi="Times New Roman" w:cs="Times New Roman"/>
          <w:color w:val="000000"/>
        </w:rPr>
        <w:t xml:space="preserve">čuvati u svom knjigovodstvu najmanje </w:t>
      </w:r>
      <w:r w:rsidR="00033346">
        <w:rPr>
          <w:rFonts w:ascii="Times New Roman" w:hAnsi="Times New Roman" w:cs="Times New Roman"/>
          <w:color w:val="000000"/>
        </w:rPr>
        <w:t>5 godina od završetka p</w:t>
      </w:r>
      <w:r w:rsidR="00033346" w:rsidRPr="00033346">
        <w:rPr>
          <w:rFonts w:ascii="Times New Roman" w:hAnsi="Times New Roman" w:cs="Times New Roman" w:hint="eastAsia"/>
          <w:color w:val="000000"/>
        </w:rPr>
        <w:t>rihvatljivo</w:t>
      </w:r>
      <w:r w:rsidR="00033346">
        <w:rPr>
          <w:rFonts w:ascii="Times New Roman" w:hAnsi="Times New Roman" w:cs="Times New Roman"/>
          <w:color w:val="000000"/>
        </w:rPr>
        <w:t>g</w:t>
      </w:r>
      <w:r w:rsidR="00033346" w:rsidRPr="00033346">
        <w:rPr>
          <w:rFonts w:ascii="Times New Roman" w:hAnsi="Times New Roman" w:cs="Times New Roman" w:hint="eastAsia"/>
          <w:color w:val="000000"/>
        </w:rPr>
        <w:t xml:space="preserve"> v</w:t>
      </w:r>
      <w:r w:rsidR="00033346">
        <w:rPr>
          <w:rFonts w:ascii="Times New Roman" w:hAnsi="Times New Roman" w:cs="Times New Roman"/>
          <w:color w:val="000000"/>
        </w:rPr>
        <w:t>remena</w:t>
      </w:r>
      <w:r w:rsidR="00033346" w:rsidRPr="00033346">
        <w:rPr>
          <w:rFonts w:ascii="Times New Roman" w:hAnsi="Times New Roman" w:cs="Times New Roman" w:hint="eastAsia"/>
          <w:color w:val="000000"/>
        </w:rPr>
        <w:t xml:space="preserve"> isplate bespovratnih sredstava</w:t>
      </w:r>
      <w:r w:rsidR="00033346" w:rsidRPr="00033346">
        <w:rPr>
          <w:rFonts w:ascii="Times New Roman" w:hAnsi="Times New Roman" w:cs="Times New Roman"/>
          <w:color w:val="000000"/>
        </w:rPr>
        <w:t xml:space="preserve"> </w:t>
      </w:r>
      <w:r w:rsidRPr="003F620D">
        <w:rPr>
          <w:rFonts w:ascii="Times New Roman" w:hAnsi="Times New Roman" w:cs="Times New Roman"/>
          <w:color w:val="000000"/>
        </w:rPr>
        <w:t xml:space="preserve">iz </w:t>
      </w:r>
      <w:r w:rsidRPr="00033346">
        <w:rPr>
          <w:rFonts w:ascii="Times New Roman" w:hAnsi="Times New Roman" w:cs="Times New Roman"/>
          <w:color w:val="000000"/>
        </w:rPr>
        <w:t xml:space="preserve">članka </w:t>
      </w:r>
      <w:r w:rsidR="00345EA6" w:rsidRPr="00033346">
        <w:rPr>
          <w:rFonts w:ascii="Times New Roman" w:hAnsi="Times New Roman" w:cs="Times New Roman"/>
          <w:color w:val="000000"/>
        </w:rPr>
        <w:t xml:space="preserve">2. </w:t>
      </w:r>
      <w:r w:rsidR="00E84328" w:rsidRPr="00033346">
        <w:rPr>
          <w:rFonts w:ascii="Times New Roman" w:hAnsi="Times New Roman" w:cs="Times New Roman"/>
          <w:color w:val="000000"/>
        </w:rPr>
        <w:t>točke</w:t>
      </w:r>
      <w:r w:rsidR="00345EA6" w:rsidRPr="00033346">
        <w:rPr>
          <w:rFonts w:ascii="Times New Roman" w:hAnsi="Times New Roman" w:cs="Times New Roman"/>
          <w:color w:val="000000"/>
        </w:rPr>
        <w:t xml:space="preserve"> </w:t>
      </w:r>
      <w:r w:rsidRPr="00033346">
        <w:rPr>
          <w:rFonts w:ascii="Times New Roman" w:hAnsi="Times New Roman" w:cs="Times New Roman"/>
          <w:color w:val="000000"/>
        </w:rPr>
        <w:t>2.3.</w:t>
      </w:r>
      <w:r w:rsidR="00345EA6" w:rsidRPr="00033346">
        <w:rPr>
          <w:rFonts w:ascii="Times New Roman" w:hAnsi="Times New Roman" w:cs="Times New Roman"/>
          <w:color w:val="000000"/>
        </w:rPr>
        <w:t xml:space="preserve"> ovog Ugovora</w:t>
      </w:r>
      <w:r w:rsidRPr="00033346">
        <w:rPr>
          <w:rFonts w:ascii="Times New Roman" w:hAnsi="Times New Roman" w:cs="Times New Roman"/>
          <w:color w:val="000000"/>
        </w:rPr>
        <w:t>,</w:t>
      </w:r>
      <w:r w:rsidRPr="003F620D">
        <w:rPr>
          <w:rFonts w:ascii="Times New Roman" w:hAnsi="Times New Roman" w:cs="Times New Roman"/>
          <w:color w:val="000000"/>
        </w:rPr>
        <w:t xml:space="preserve"> te da će ih po potrebi dostaviti Gradu Korčuli. Ukoliko se poduzetnik u navedenom roku ne odazove pozivu na dostavu i Grad Korčula radi toga pretrpi štetu, poduzetnik je dužan nastalu štetu nadoknaditi Gradu Korčuli i to do iznosa </w:t>
      </w:r>
      <w:r w:rsidR="00767428" w:rsidRPr="003F620D">
        <w:rPr>
          <w:rFonts w:ascii="Times New Roman" w:hAnsi="Times New Roman" w:cs="Times New Roman"/>
          <w:color w:val="000000"/>
        </w:rPr>
        <w:t xml:space="preserve">sufinanciranja definiranoga u </w:t>
      </w:r>
      <w:r w:rsidRPr="003F620D">
        <w:rPr>
          <w:rFonts w:ascii="Times New Roman" w:hAnsi="Times New Roman" w:cs="Times New Roman"/>
          <w:color w:val="000000"/>
        </w:rPr>
        <w:t xml:space="preserve">članku </w:t>
      </w:r>
      <w:r w:rsidR="00345EA6" w:rsidRPr="00033346">
        <w:rPr>
          <w:rFonts w:ascii="Times New Roman" w:hAnsi="Times New Roman" w:cs="Times New Roman"/>
          <w:color w:val="000000"/>
        </w:rPr>
        <w:t xml:space="preserve">3. </w:t>
      </w:r>
      <w:r w:rsidR="00E84328" w:rsidRPr="00033346">
        <w:rPr>
          <w:rFonts w:ascii="Times New Roman" w:hAnsi="Times New Roman" w:cs="Times New Roman"/>
          <w:color w:val="000000"/>
        </w:rPr>
        <w:t>točki</w:t>
      </w:r>
      <w:r w:rsidR="00345EA6" w:rsidRPr="00033346">
        <w:rPr>
          <w:rFonts w:ascii="Times New Roman" w:hAnsi="Times New Roman" w:cs="Times New Roman"/>
          <w:color w:val="000000"/>
        </w:rPr>
        <w:t xml:space="preserve"> </w:t>
      </w:r>
      <w:r w:rsidRPr="00033346">
        <w:rPr>
          <w:rFonts w:ascii="Times New Roman" w:hAnsi="Times New Roman" w:cs="Times New Roman"/>
          <w:color w:val="000000"/>
        </w:rPr>
        <w:t>3.2. ovog</w:t>
      </w:r>
      <w:r w:rsidRPr="003F620D">
        <w:rPr>
          <w:rFonts w:ascii="Times New Roman" w:hAnsi="Times New Roman" w:cs="Times New Roman"/>
          <w:color w:val="000000"/>
        </w:rPr>
        <w:t xml:space="preserve"> Ugovora.</w:t>
      </w:r>
    </w:p>
    <w:p w14:paraId="2B3409CF" w14:textId="52BF828B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6.</w:t>
      </w:r>
      <w:r w:rsidR="00A3564E" w:rsidRPr="003F620D">
        <w:rPr>
          <w:rFonts w:ascii="Times New Roman" w:hAnsi="Times New Roman" w:cs="Times New Roman"/>
          <w:color w:val="000000"/>
        </w:rPr>
        <w:t>2</w:t>
      </w:r>
      <w:r w:rsidRPr="003F620D">
        <w:rPr>
          <w:rFonts w:ascii="Times New Roman" w:hAnsi="Times New Roman" w:cs="Times New Roman"/>
          <w:color w:val="000000"/>
        </w:rPr>
        <w:t xml:space="preserve">. Grad Korčula </w:t>
      </w:r>
      <w:r w:rsidR="00767428" w:rsidRPr="003F620D">
        <w:rPr>
          <w:rFonts w:ascii="Times New Roman" w:hAnsi="Times New Roman" w:cs="Times New Roman"/>
          <w:color w:val="000000"/>
        </w:rPr>
        <w:t xml:space="preserve">se </w:t>
      </w:r>
      <w:r w:rsidRPr="003F620D">
        <w:rPr>
          <w:rFonts w:ascii="Times New Roman" w:hAnsi="Times New Roman" w:cs="Times New Roman"/>
          <w:color w:val="000000"/>
        </w:rPr>
        <w:t>ni pod kojim okolnostim</w:t>
      </w:r>
      <w:r w:rsidR="00767428" w:rsidRPr="003F620D">
        <w:rPr>
          <w:rFonts w:ascii="Times New Roman" w:hAnsi="Times New Roman" w:cs="Times New Roman"/>
          <w:color w:val="000000"/>
        </w:rPr>
        <w:t xml:space="preserve">a niti iz bilo kojeg razloga </w:t>
      </w:r>
      <w:r w:rsidR="00F57FD5" w:rsidRPr="003F620D">
        <w:rPr>
          <w:rFonts w:ascii="Times New Roman" w:hAnsi="Times New Roman" w:cs="Times New Roman"/>
          <w:color w:val="000000"/>
        </w:rPr>
        <w:t xml:space="preserve">ne </w:t>
      </w:r>
      <w:r w:rsidRPr="003F620D">
        <w:rPr>
          <w:rFonts w:ascii="Times New Roman" w:hAnsi="Times New Roman" w:cs="Times New Roman"/>
          <w:color w:val="000000"/>
        </w:rPr>
        <w:t xml:space="preserve">smatra odgovornim u slučaju ikakve štete ili ozljede koju tijekom provedbe predmeta </w:t>
      </w:r>
      <w:r w:rsidR="00033346">
        <w:rPr>
          <w:rFonts w:ascii="Times New Roman" w:hAnsi="Times New Roman" w:cs="Times New Roman"/>
          <w:color w:val="000000"/>
        </w:rPr>
        <w:t>ovog U</w:t>
      </w:r>
      <w:r w:rsidRPr="003F620D">
        <w:rPr>
          <w:rFonts w:ascii="Times New Roman" w:hAnsi="Times New Roman" w:cs="Times New Roman"/>
          <w:color w:val="000000"/>
        </w:rPr>
        <w:t xml:space="preserve">govora ili kao posljedicu predmeta </w:t>
      </w:r>
      <w:r w:rsidR="00033346">
        <w:rPr>
          <w:rFonts w:ascii="Times New Roman" w:hAnsi="Times New Roman" w:cs="Times New Roman"/>
          <w:color w:val="000000"/>
        </w:rPr>
        <w:t>U</w:t>
      </w:r>
      <w:r w:rsidRPr="003F620D">
        <w:rPr>
          <w:rFonts w:ascii="Times New Roman" w:hAnsi="Times New Roman" w:cs="Times New Roman"/>
          <w:color w:val="000000"/>
        </w:rPr>
        <w:t xml:space="preserve">govora pretrpi osoblje, imovina </w:t>
      </w:r>
      <w:r w:rsidR="00CB0873">
        <w:rPr>
          <w:rFonts w:ascii="Times New Roman" w:hAnsi="Times New Roman" w:cs="Times New Roman"/>
          <w:color w:val="000000"/>
        </w:rPr>
        <w:t>p</w:t>
      </w:r>
      <w:r w:rsidRPr="003F620D">
        <w:rPr>
          <w:rFonts w:ascii="Times New Roman" w:hAnsi="Times New Roman" w:cs="Times New Roman"/>
          <w:color w:val="000000"/>
        </w:rPr>
        <w:t>oduzetnika ili treća strana. Grad Korčula n</w:t>
      </w:r>
      <w:r w:rsidR="00CB0873">
        <w:rPr>
          <w:rFonts w:ascii="Times New Roman" w:hAnsi="Times New Roman" w:cs="Times New Roman"/>
          <w:color w:val="000000"/>
        </w:rPr>
        <w:t>eće prihvatiti nikakav zahtjev p</w:t>
      </w:r>
      <w:r w:rsidRPr="003F620D">
        <w:rPr>
          <w:rFonts w:ascii="Times New Roman" w:hAnsi="Times New Roman" w:cs="Times New Roman"/>
          <w:color w:val="000000"/>
        </w:rPr>
        <w:t>oduzetnika za naknadu ili povećanja iznosa plaćanja u vezi s takvom štetom ili ozljedom.</w:t>
      </w:r>
    </w:p>
    <w:p w14:paraId="0048F464" w14:textId="0A430644" w:rsidR="00311E20" w:rsidRPr="003F620D" w:rsidRDefault="00E707D6">
      <w:pPr>
        <w:jc w:val="both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color w:val="000000"/>
        </w:rPr>
        <w:t>6.</w:t>
      </w:r>
      <w:r w:rsidR="00A3564E" w:rsidRPr="003F620D">
        <w:rPr>
          <w:rFonts w:ascii="Times New Roman" w:hAnsi="Times New Roman" w:cs="Times New Roman"/>
          <w:color w:val="000000"/>
        </w:rPr>
        <w:t>3</w:t>
      </w:r>
      <w:r w:rsidRPr="003F620D">
        <w:rPr>
          <w:rFonts w:ascii="Times New Roman" w:hAnsi="Times New Roman" w:cs="Times New Roman"/>
          <w:color w:val="000000"/>
        </w:rPr>
        <w:t>.</w:t>
      </w:r>
      <w:r w:rsidR="00345EA6">
        <w:rPr>
          <w:rFonts w:ascii="Times New Roman" w:hAnsi="Times New Roman" w:cs="Times New Roman"/>
          <w:color w:val="000000"/>
        </w:rPr>
        <w:t xml:space="preserve"> Ugovor se na zahtjev svake od s</w:t>
      </w:r>
      <w:r w:rsidRPr="003F620D">
        <w:rPr>
          <w:rFonts w:ascii="Times New Roman" w:hAnsi="Times New Roman" w:cs="Times New Roman"/>
          <w:color w:val="000000"/>
        </w:rPr>
        <w:t xml:space="preserve">trana </w:t>
      </w:r>
      <w:r w:rsidR="00345EA6">
        <w:rPr>
          <w:rFonts w:ascii="Times New Roman" w:hAnsi="Times New Roman" w:cs="Times New Roman"/>
          <w:color w:val="000000"/>
        </w:rPr>
        <w:t>može izmijeniti i/ili dopuniti d</w:t>
      </w:r>
      <w:r w:rsidRPr="003F620D">
        <w:rPr>
          <w:rFonts w:ascii="Times New Roman" w:hAnsi="Times New Roman" w:cs="Times New Roman"/>
          <w:color w:val="000000"/>
        </w:rPr>
        <w:t xml:space="preserve">odatkom Ugovoru pod uvjetom da se ne dovodi u pitanje odluka o sufinanciranju ili postupanje u skladu s načelom jednakog postupanja. </w:t>
      </w:r>
    </w:p>
    <w:p w14:paraId="1CCE505C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64DDB72" w14:textId="04905636" w:rsidR="00A3564E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 xml:space="preserve">Raskid </w:t>
      </w:r>
      <w:r>
        <w:rPr>
          <w:rFonts w:ascii="Times New Roman" w:hAnsi="Times New Roman" w:cs="Times New Roman"/>
          <w:b/>
          <w:bCs/>
          <w:color w:val="000000"/>
        </w:rPr>
        <w:t>U</w:t>
      </w:r>
      <w:r w:rsidRPr="003F620D">
        <w:rPr>
          <w:rFonts w:ascii="Times New Roman" w:hAnsi="Times New Roman" w:cs="Times New Roman"/>
          <w:b/>
          <w:bCs/>
          <w:color w:val="000000"/>
        </w:rPr>
        <w:t>govora</w:t>
      </w:r>
    </w:p>
    <w:p w14:paraId="57CABD15" w14:textId="77777777" w:rsidR="00C6057E" w:rsidRDefault="00C6057E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9D441C0" w14:textId="36759465" w:rsidR="00311E20" w:rsidRPr="003F620D" w:rsidRDefault="00C6057E" w:rsidP="00C605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Članak 7.</w:t>
      </w:r>
    </w:p>
    <w:p w14:paraId="0BD1CE59" w14:textId="33AADEC0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7.</w:t>
      </w:r>
      <w:r w:rsidR="00A3564E" w:rsidRPr="003F620D">
        <w:rPr>
          <w:rFonts w:ascii="Times New Roman" w:hAnsi="Times New Roman" w:cs="Times New Roman"/>
          <w:color w:val="000000"/>
        </w:rPr>
        <w:t>1</w:t>
      </w:r>
      <w:r w:rsidRPr="003F620D">
        <w:rPr>
          <w:rFonts w:ascii="Times New Roman" w:hAnsi="Times New Roman" w:cs="Times New Roman"/>
          <w:color w:val="000000"/>
        </w:rPr>
        <w:t xml:space="preserve">. Ugovorne strane mogu sporazumno raskinuti </w:t>
      </w:r>
      <w:r w:rsidR="00E84328">
        <w:rPr>
          <w:rFonts w:ascii="Times New Roman" w:hAnsi="Times New Roman" w:cs="Times New Roman"/>
          <w:color w:val="000000"/>
        </w:rPr>
        <w:t xml:space="preserve">ovaj </w:t>
      </w:r>
      <w:r w:rsidRPr="003F620D">
        <w:rPr>
          <w:rFonts w:ascii="Times New Roman" w:hAnsi="Times New Roman" w:cs="Times New Roman"/>
          <w:color w:val="000000"/>
        </w:rPr>
        <w:t xml:space="preserve">Ugovor, o </w:t>
      </w:r>
      <w:r w:rsidR="00E84328">
        <w:rPr>
          <w:rFonts w:ascii="Times New Roman" w:hAnsi="Times New Roman" w:cs="Times New Roman"/>
          <w:color w:val="000000"/>
        </w:rPr>
        <w:t>čemu mora biti sačinjen pisani s</w:t>
      </w:r>
      <w:r w:rsidRPr="003F620D">
        <w:rPr>
          <w:rFonts w:ascii="Times New Roman" w:hAnsi="Times New Roman" w:cs="Times New Roman"/>
          <w:color w:val="000000"/>
        </w:rPr>
        <w:t>porazum o raskidu Ugovora.</w:t>
      </w:r>
    </w:p>
    <w:p w14:paraId="0AE5D8F5" w14:textId="1AC7E63F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7.</w:t>
      </w:r>
      <w:r w:rsidR="00A3564E" w:rsidRPr="003F620D">
        <w:rPr>
          <w:rFonts w:ascii="Times New Roman" w:hAnsi="Times New Roman" w:cs="Times New Roman"/>
          <w:color w:val="000000"/>
        </w:rPr>
        <w:t>2</w:t>
      </w:r>
      <w:r w:rsidRPr="003F620D">
        <w:rPr>
          <w:rFonts w:ascii="Times New Roman" w:hAnsi="Times New Roman" w:cs="Times New Roman"/>
          <w:color w:val="000000"/>
        </w:rPr>
        <w:t xml:space="preserve">. Grad Korčula može raskinuti </w:t>
      </w:r>
      <w:r w:rsidR="00E84328">
        <w:rPr>
          <w:rFonts w:ascii="Times New Roman" w:hAnsi="Times New Roman" w:cs="Times New Roman"/>
          <w:color w:val="000000"/>
        </w:rPr>
        <w:t xml:space="preserve">ovaj </w:t>
      </w:r>
      <w:r w:rsidRPr="003F620D">
        <w:rPr>
          <w:rFonts w:ascii="Times New Roman" w:hAnsi="Times New Roman" w:cs="Times New Roman"/>
          <w:color w:val="000000"/>
        </w:rPr>
        <w:t>Ugovor jednostrano</w:t>
      </w:r>
      <w:r w:rsidR="00E84328">
        <w:rPr>
          <w:rFonts w:ascii="Times New Roman" w:hAnsi="Times New Roman" w:cs="Times New Roman"/>
          <w:color w:val="000000"/>
        </w:rPr>
        <w:t>, obavještavajući o tome drugu u</w:t>
      </w:r>
      <w:r w:rsidRPr="003F620D">
        <w:rPr>
          <w:rFonts w:ascii="Times New Roman" w:hAnsi="Times New Roman" w:cs="Times New Roman"/>
          <w:color w:val="000000"/>
        </w:rPr>
        <w:t>govornu stranu 7 dana unaprijed, a bez plaćanja naknade bilo koje vrste ukoliko:</w:t>
      </w:r>
    </w:p>
    <w:p w14:paraId="2EC0D5B5" w14:textId="5072D198" w:rsidR="00311E20" w:rsidRPr="003F620D" w:rsidRDefault="00E84328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</w:t>
      </w:r>
      <w:r w:rsidR="00E707D6" w:rsidRPr="003F620D">
        <w:rPr>
          <w:rFonts w:ascii="Times New Roman" w:hAnsi="Times New Roman" w:cs="Times New Roman"/>
          <w:color w:val="000000"/>
        </w:rPr>
        <w:t>oduzetnik bez opravdanog razloga ne ispuni bilo koju od obveza koje je preuzeo i nakon što je u pisanom obliku dobio opomenu kojom se traži da ispuni obveze i nastavi ih ne ispunjavati, odnosno ne dostavi zadovoljavajuće objašnjenje o razlozima neispunjavanja obveza</w:t>
      </w:r>
      <w:r>
        <w:rPr>
          <w:rFonts w:ascii="Times New Roman" w:hAnsi="Times New Roman" w:cs="Times New Roman"/>
          <w:color w:val="000000"/>
        </w:rPr>
        <w:t>,</w:t>
      </w:r>
    </w:p>
    <w:p w14:paraId="36D34068" w14:textId="42BA2894" w:rsidR="00311E20" w:rsidRPr="003F620D" w:rsidRDefault="00E707D6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se nad </w:t>
      </w:r>
      <w:r w:rsidR="00E84328">
        <w:rPr>
          <w:rFonts w:ascii="Times New Roman" w:hAnsi="Times New Roman" w:cs="Times New Roman"/>
          <w:color w:val="000000"/>
        </w:rPr>
        <w:t>p</w:t>
      </w:r>
      <w:r w:rsidRPr="003F620D">
        <w:rPr>
          <w:rFonts w:ascii="Times New Roman" w:hAnsi="Times New Roman" w:cs="Times New Roman"/>
          <w:color w:val="000000"/>
        </w:rPr>
        <w:t>oduzetnikom otvori stečajni postupak ili započne postupak likvidacije, ili ako njegovim poslovima upravlja sud, ili ako je sklopio sporazum s vjerovnicima, ako je obustavio poslovne aktivnosti, ako je predmetom sudskih postupaka zbog navedenih aktivnosti ili je u analognoj situaciji koja proizlazi iz sličnog postupka predviđenog nacionalnim</w:t>
      </w:r>
      <w:r w:rsidR="00033346">
        <w:rPr>
          <w:rFonts w:ascii="Times New Roman" w:hAnsi="Times New Roman" w:cs="Times New Roman"/>
          <w:color w:val="000000"/>
        </w:rPr>
        <w:t xml:space="preserve"> zakonodavstvom ili propisima</w:t>
      </w:r>
      <w:r w:rsidRPr="003F620D">
        <w:rPr>
          <w:rFonts w:ascii="Times New Roman" w:hAnsi="Times New Roman" w:cs="Times New Roman"/>
          <w:color w:val="000000"/>
        </w:rPr>
        <w:t xml:space="preserve"> zemlje</w:t>
      </w:r>
      <w:r w:rsidR="00E84328">
        <w:rPr>
          <w:rFonts w:ascii="Times New Roman" w:hAnsi="Times New Roman" w:cs="Times New Roman"/>
          <w:color w:val="000000"/>
        </w:rPr>
        <w:t>.</w:t>
      </w:r>
    </w:p>
    <w:p w14:paraId="615AA817" w14:textId="52A018F6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7.</w:t>
      </w:r>
      <w:r w:rsidR="00A3564E" w:rsidRPr="003F620D">
        <w:rPr>
          <w:rFonts w:ascii="Times New Roman" w:hAnsi="Times New Roman" w:cs="Times New Roman"/>
          <w:color w:val="000000"/>
        </w:rPr>
        <w:t>3</w:t>
      </w:r>
      <w:r w:rsidRPr="003F620D">
        <w:rPr>
          <w:rFonts w:ascii="Times New Roman" w:hAnsi="Times New Roman" w:cs="Times New Roman"/>
          <w:color w:val="000000"/>
        </w:rPr>
        <w:t xml:space="preserve">. U slučaju raskida </w:t>
      </w:r>
      <w:r w:rsidR="00E84328">
        <w:rPr>
          <w:rFonts w:ascii="Times New Roman" w:hAnsi="Times New Roman" w:cs="Times New Roman"/>
          <w:color w:val="000000"/>
        </w:rPr>
        <w:t xml:space="preserve">ovog Ugovora, </w:t>
      </w:r>
      <w:r w:rsidR="00CB0873">
        <w:rPr>
          <w:rFonts w:ascii="Times New Roman" w:hAnsi="Times New Roman" w:cs="Times New Roman"/>
          <w:color w:val="000000"/>
        </w:rPr>
        <w:t>p</w:t>
      </w:r>
      <w:r w:rsidRPr="003F620D">
        <w:rPr>
          <w:rFonts w:ascii="Times New Roman" w:hAnsi="Times New Roman" w:cs="Times New Roman"/>
          <w:color w:val="000000"/>
        </w:rPr>
        <w:t>oduzetnik nema  pravo na isplatu bespovratnih sredstava.</w:t>
      </w:r>
    </w:p>
    <w:p w14:paraId="6DEF5577" w14:textId="57710DA6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7.</w:t>
      </w:r>
      <w:r w:rsidR="00A3564E" w:rsidRPr="003F620D">
        <w:rPr>
          <w:rFonts w:ascii="Times New Roman" w:hAnsi="Times New Roman" w:cs="Times New Roman"/>
          <w:color w:val="000000"/>
        </w:rPr>
        <w:t>4</w:t>
      </w:r>
      <w:r w:rsidRPr="003F620D">
        <w:rPr>
          <w:rFonts w:ascii="Times New Roman" w:hAnsi="Times New Roman" w:cs="Times New Roman"/>
          <w:color w:val="000000"/>
        </w:rPr>
        <w:t>. Ovaj se Ugovor automatski raskida ako t</w:t>
      </w:r>
      <w:r w:rsidR="00E84328">
        <w:rPr>
          <w:rFonts w:ascii="Times New Roman" w:hAnsi="Times New Roman" w:cs="Times New Roman"/>
          <w:color w:val="000000"/>
        </w:rPr>
        <w:t xml:space="preserve">emeljem njega, a zbog propusta </w:t>
      </w:r>
      <w:r w:rsidR="00CB0873">
        <w:rPr>
          <w:rFonts w:ascii="Times New Roman" w:hAnsi="Times New Roman" w:cs="Times New Roman"/>
          <w:color w:val="000000"/>
        </w:rPr>
        <w:t>p</w:t>
      </w:r>
      <w:r w:rsidRPr="003F620D">
        <w:rPr>
          <w:rFonts w:ascii="Times New Roman" w:hAnsi="Times New Roman" w:cs="Times New Roman"/>
          <w:color w:val="000000"/>
        </w:rPr>
        <w:t xml:space="preserve">oduzetnika nije došlo ni do kakve isplate </w:t>
      </w:r>
      <w:r w:rsidR="00033346">
        <w:rPr>
          <w:rFonts w:ascii="Times New Roman" w:hAnsi="Times New Roman" w:cs="Times New Roman"/>
          <w:color w:val="000000"/>
        </w:rPr>
        <w:t xml:space="preserve">tijekom </w:t>
      </w:r>
      <w:r w:rsidR="00033346" w:rsidRPr="00033346">
        <w:rPr>
          <w:rFonts w:ascii="Times New Roman" w:hAnsi="Times New Roman" w:cs="Times New Roman" w:hint="eastAsia"/>
          <w:color w:val="000000"/>
        </w:rPr>
        <w:t xml:space="preserve">prihvatljivog vremena isplate bespovratnih sredstava </w:t>
      </w:r>
      <w:r w:rsidRPr="003F620D">
        <w:rPr>
          <w:rFonts w:ascii="Times New Roman" w:hAnsi="Times New Roman" w:cs="Times New Roman"/>
          <w:color w:val="000000"/>
        </w:rPr>
        <w:t xml:space="preserve">iz </w:t>
      </w:r>
      <w:r w:rsidRPr="00033346">
        <w:rPr>
          <w:rFonts w:ascii="Times New Roman" w:hAnsi="Times New Roman" w:cs="Times New Roman"/>
          <w:color w:val="000000"/>
        </w:rPr>
        <w:t xml:space="preserve">članka </w:t>
      </w:r>
      <w:r w:rsidR="00E84328" w:rsidRPr="00033346">
        <w:rPr>
          <w:rFonts w:ascii="Times New Roman" w:hAnsi="Times New Roman" w:cs="Times New Roman"/>
          <w:color w:val="000000"/>
        </w:rPr>
        <w:t xml:space="preserve">2. točke </w:t>
      </w:r>
      <w:r w:rsidRPr="00033346">
        <w:rPr>
          <w:rFonts w:ascii="Times New Roman" w:hAnsi="Times New Roman" w:cs="Times New Roman"/>
          <w:color w:val="000000"/>
        </w:rPr>
        <w:t>2.3.</w:t>
      </w:r>
      <w:r w:rsidR="00E84328">
        <w:rPr>
          <w:rFonts w:ascii="Times New Roman" w:hAnsi="Times New Roman" w:cs="Times New Roman"/>
          <w:color w:val="000000"/>
        </w:rPr>
        <w:t xml:space="preserve"> ovog Ugovora.</w:t>
      </w:r>
    </w:p>
    <w:p w14:paraId="11AEB1A4" w14:textId="79251086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7.</w:t>
      </w:r>
      <w:r w:rsidR="00A3564E" w:rsidRPr="003F620D">
        <w:rPr>
          <w:rFonts w:ascii="Times New Roman" w:hAnsi="Times New Roman" w:cs="Times New Roman"/>
          <w:color w:val="000000"/>
        </w:rPr>
        <w:t>5</w:t>
      </w:r>
      <w:r w:rsidRPr="003F620D">
        <w:rPr>
          <w:rFonts w:ascii="Times New Roman" w:hAnsi="Times New Roman" w:cs="Times New Roman"/>
          <w:color w:val="000000"/>
        </w:rPr>
        <w:t>. Na ovaj se Ugovor primjenjuje pravo Republike Hrvatske.</w:t>
      </w:r>
    </w:p>
    <w:p w14:paraId="1D013EB9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E19A58" w14:textId="682D0624" w:rsidR="00311E20" w:rsidRPr="003F620D" w:rsidRDefault="00C6057E" w:rsidP="00C6057E">
      <w:pPr>
        <w:jc w:val="center"/>
        <w:rPr>
          <w:rFonts w:ascii="Times New Roman" w:hAnsi="Times New Roman" w:cs="Times New Roman"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Vidljivost</w:t>
      </w:r>
    </w:p>
    <w:p w14:paraId="315EC0C4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AEB23E4" w14:textId="1B15FFA3" w:rsidR="00311E20" w:rsidRPr="003F620D" w:rsidRDefault="00E707D6" w:rsidP="00C6057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Članak 8.</w:t>
      </w:r>
    </w:p>
    <w:p w14:paraId="59CCE0D5" w14:textId="473F08C2" w:rsidR="00311E20" w:rsidRPr="003F620D" w:rsidRDefault="009046E6">
      <w:pPr>
        <w:jc w:val="both"/>
        <w:rPr>
          <w:rFonts w:ascii="Times New Roman" w:hAnsi="Times New Roman" w:cs="Times New Roman"/>
          <w:b/>
          <w:bCs/>
        </w:rPr>
      </w:pPr>
      <w:r w:rsidRPr="003F620D">
        <w:rPr>
          <w:rFonts w:ascii="Times New Roman" w:hAnsi="Times New Roman" w:cs="Times New Roman"/>
          <w:bCs/>
          <w:color w:val="000000"/>
        </w:rPr>
        <w:t>8.1.</w:t>
      </w:r>
      <w:r w:rsidR="003F620D" w:rsidRPr="003F620D">
        <w:rPr>
          <w:rFonts w:ascii="Times New Roman" w:hAnsi="Times New Roman" w:cs="Times New Roman"/>
          <w:bCs/>
        </w:rPr>
        <w:t xml:space="preserve"> </w:t>
      </w:r>
      <w:r w:rsidR="00E707D6" w:rsidRPr="003F620D">
        <w:rPr>
          <w:rFonts w:ascii="Times New Roman" w:hAnsi="Times New Roman" w:cs="Times New Roman"/>
          <w:color w:val="000000"/>
        </w:rPr>
        <w:t>Korisnik bespovratne potpore dužan je o vlastitom trošku istaknuti na vidljivom mjestu informaciju da je za provedbu sudjelovanje na sajmu ostvario bespovratna sredstva Europske unije u skladu sa Uputama za korisnike sredstava: Informiranje i vidljivost projekata financiranih iz strukturnih i Kohezijskog fonda 2007. – 2013.</w:t>
      </w:r>
    </w:p>
    <w:p w14:paraId="7DD7EDF2" w14:textId="77777777" w:rsidR="00E84328" w:rsidRDefault="00E84328">
      <w:pPr>
        <w:jc w:val="both"/>
        <w:rPr>
          <w:rFonts w:ascii="Times New Roman" w:hAnsi="Times New Roman" w:cs="Times New Roman"/>
          <w:b/>
          <w:color w:val="000000"/>
        </w:rPr>
      </w:pPr>
    </w:p>
    <w:p w14:paraId="35FCE14A" w14:textId="77777777" w:rsidR="00C6057E" w:rsidRDefault="00C6057E">
      <w:pPr>
        <w:jc w:val="both"/>
        <w:rPr>
          <w:rFonts w:ascii="Times New Roman" w:hAnsi="Times New Roman" w:cs="Times New Roman"/>
          <w:b/>
          <w:color w:val="000000"/>
        </w:rPr>
      </w:pPr>
    </w:p>
    <w:p w14:paraId="415B9BE4" w14:textId="4B461BD5" w:rsidR="00C6057E" w:rsidRDefault="00C6057E" w:rsidP="00C6057E">
      <w:pPr>
        <w:jc w:val="center"/>
        <w:rPr>
          <w:rFonts w:ascii="Times New Roman" w:hAnsi="Times New Roman" w:cs="Times New Roman"/>
          <w:b/>
          <w:color w:val="000000"/>
        </w:rPr>
      </w:pPr>
      <w:r w:rsidRPr="003F620D">
        <w:rPr>
          <w:rFonts w:ascii="Times New Roman" w:hAnsi="Times New Roman" w:cs="Times New Roman"/>
          <w:b/>
          <w:color w:val="000000"/>
        </w:rPr>
        <w:t>Potpore male vrijednosti</w:t>
      </w:r>
      <w:r>
        <w:rPr>
          <w:rStyle w:val="FootnoteReference"/>
          <w:rFonts w:ascii="Times New Roman" w:hAnsi="Times New Roman" w:cs="Times New Roman"/>
          <w:b/>
          <w:color w:val="000000"/>
        </w:rPr>
        <w:footnoteReference w:id="1"/>
      </w:r>
    </w:p>
    <w:p w14:paraId="742A97BB" w14:textId="77777777" w:rsidR="00C6057E" w:rsidRDefault="00C6057E">
      <w:pPr>
        <w:jc w:val="both"/>
        <w:rPr>
          <w:rFonts w:ascii="Times New Roman" w:hAnsi="Times New Roman" w:cs="Times New Roman"/>
          <w:b/>
          <w:color w:val="000000"/>
        </w:rPr>
      </w:pPr>
    </w:p>
    <w:p w14:paraId="7CDEEC1D" w14:textId="56CD162A" w:rsidR="009046E6" w:rsidRPr="003F620D" w:rsidRDefault="00FE584C" w:rsidP="00C6057E">
      <w:pPr>
        <w:jc w:val="center"/>
        <w:rPr>
          <w:rFonts w:ascii="Times New Roman" w:hAnsi="Times New Roman" w:cs="Times New Roman"/>
          <w:b/>
          <w:color w:val="000000"/>
        </w:rPr>
      </w:pPr>
      <w:r w:rsidRPr="003F620D">
        <w:rPr>
          <w:rFonts w:ascii="Times New Roman" w:hAnsi="Times New Roman" w:cs="Times New Roman"/>
          <w:b/>
          <w:color w:val="000000"/>
        </w:rPr>
        <w:t>Članak 9.</w:t>
      </w:r>
    </w:p>
    <w:p w14:paraId="4C6C7EE3" w14:textId="4D4AFC8E" w:rsidR="007C249E" w:rsidRDefault="00FE584C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9.1.</w:t>
      </w:r>
      <w:r w:rsidR="003F620D" w:rsidRPr="003F620D">
        <w:rPr>
          <w:rFonts w:ascii="Times New Roman" w:hAnsi="Times New Roman" w:cs="Times New Roman"/>
          <w:color w:val="000000"/>
        </w:rPr>
        <w:t xml:space="preserve"> </w:t>
      </w:r>
      <w:r w:rsidRPr="003F620D">
        <w:rPr>
          <w:rFonts w:ascii="Times New Roman" w:hAnsi="Times New Roman" w:cs="Times New Roman"/>
        </w:rPr>
        <w:t xml:space="preserve">Poduzetnik je obaviješten i razumije da predviđeni iznos potpore iz </w:t>
      </w:r>
      <w:r w:rsidRPr="00033346">
        <w:rPr>
          <w:rFonts w:ascii="Times New Roman" w:hAnsi="Times New Roman" w:cs="Times New Roman"/>
        </w:rPr>
        <w:t xml:space="preserve">članka </w:t>
      </w:r>
      <w:r w:rsidR="00E84328" w:rsidRPr="00033346">
        <w:rPr>
          <w:rFonts w:ascii="Times New Roman" w:hAnsi="Times New Roman" w:cs="Times New Roman"/>
        </w:rPr>
        <w:t xml:space="preserve">3. točke </w:t>
      </w:r>
      <w:r w:rsidRPr="00033346">
        <w:rPr>
          <w:rFonts w:ascii="Times New Roman" w:hAnsi="Times New Roman" w:cs="Times New Roman"/>
        </w:rPr>
        <w:t>3.2.</w:t>
      </w:r>
      <w:r w:rsidRPr="003F620D">
        <w:rPr>
          <w:rFonts w:ascii="Times New Roman" w:hAnsi="Times New Roman" w:cs="Times New Roman"/>
        </w:rPr>
        <w:t xml:space="preserve"> ovog Ugovora predstavlja potporu male vrijednosti sukladno</w:t>
      </w:r>
      <w:r w:rsidR="007C249E">
        <w:rPr>
          <w:rFonts w:ascii="Times New Roman" w:hAnsi="Times New Roman" w:cs="Times New Roman"/>
        </w:rPr>
        <w:t>:</w:t>
      </w:r>
    </w:p>
    <w:p w14:paraId="013CC6F1" w14:textId="32B9F63E" w:rsidR="00FE584C" w:rsidRPr="004523D5" w:rsidRDefault="007C249E" w:rsidP="007C249E">
      <w:pPr>
        <w:ind w:firstLine="709"/>
        <w:jc w:val="both"/>
        <w:rPr>
          <w:rFonts w:ascii="Times New Roman" w:hAnsi="Times New Roman" w:cs="Times New Roman"/>
          <w:highlight w:val="lightGray"/>
        </w:rPr>
      </w:pPr>
      <w:r w:rsidRPr="00BB1DA2">
        <w:rPr>
          <w:rFonts w:ascii="Times New Roman" w:hAnsi="Times New Roman" w:cs="Times New Roman"/>
        </w:rPr>
        <w:t xml:space="preserve">- </w:t>
      </w:r>
      <w:r w:rsidR="00FE584C" w:rsidRPr="004523D5">
        <w:rPr>
          <w:rFonts w:ascii="Times New Roman" w:hAnsi="Times New Roman" w:cs="Times New Roman"/>
          <w:highlight w:val="lightGray"/>
        </w:rPr>
        <w:t>UREDBI KOMISIJE (EU) br. 1407/2013 od 18. prosinca 2013. o primjeni članaka 107. i 108. Ugovora o funkcioniranju Europske un</w:t>
      </w:r>
      <w:r w:rsidR="00E84328" w:rsidRPr="004523D5">
        <w:rPr>
          <w:rFonts w:ascii="Times New Roman" w:hAnsi="Times New Roman" w:cs="Times New Roman"/>
          <w:highlight w:val="lightGray"/>
        </w:rPr>
        <w:t xml:space="preserve">ije na de </w:t>
      </w:r>
      <w:proofErr w:type="spellStart"/>
      <w:r w:rsidR="00E84328" w:rsidRPr="004523D5">
        <w:rPr>
          <w:rFonts w:ascii="Times New Roman" w:hAnsi="Times New Roman" w:cs="Times New Roman"/>
          <w:highlight w:val="lightGray"/>
        </w:rPr>
        <w:t>minimis</w:t>
      </w:r>
      <w:proofErr w:type="spellEnd"/>
      <w:r w:rsidR="00E84328" w:rsidRPr="004523D5">
        <w:rPr>
          <w:rFonts w:ascii="Times New Roman" w:hAnsi="Times New Roman" w:cs="Times New Roman"/>
          <w:highlight w:val="lightGray"/>
        </w:rPr>
        <w:t xml:space="preserve"> potpore,</w:t>
      </w:r>
    </w:p>
    <w:p w14:paraId="76F28FF8" w14:textId="23288117" w:rsidR="007C249E" w:rsidRPr="004523D5" w:rsidRDefault="007C249E" w:rsidP="007C249E">
      <w:pPr>
        <w:ind w:firstLine="709"/>
        <w:jc w:val="both"/>
        <w:rPr>
          <w:rFonts w:ascii="Times New Roman" w:hAnsi="Times New Roman" w:cs="Times New Roman"/>
          <w:color w:val="000000"/>
          <w:highlight w:val="lightGray"/>
        </w:rPr>
      </w:pPr>
      <w:r w:rsidRPr="004523D5">
        <w:rPr>
          <w:rFonts w:ascii="Times New Roman" w:hAnsi="Times New Roman" w:cs="Times New Roman"/>
          <w:b/>
          <w:color w:val="000000"/>
          <w:highlight w:val="lightGray"/>
        </w:rPr>
        <w:t xml:space="preserve">- </w:t>
      </w:r>
      <w:r w:rsidRPr="004523D5">
        <w:rPr>
          <w:rFonts w:ascii="Times New Roman" w:hAnsi="Times New Roman" w:cs="Times New Roman"/>
          <w:highlight w:val="lightGray"/>
        </w:rPr>
        <w:t>UREDBI KOMISIJE</w:t>
      </w:r>
      <w:r w:rsidRPr="004523D5">
        <w:rPr>
          <w:rFonts w:ascii="Times New Roman" w:hAnsi="Times New Roman" w:cs="Times New Roman"/>
          <w:color w:val="000000"/>
          <w:highlight w:val="lightGray"/>
        </w:rPr>
        <w:t xml:space="preserve"> (EU) br. 717/2014 od 27. lipnja 2014. o primjeni članaka 107. i 108. Ugovora o funkcioniranju Europske unije  de </w:t>
      </w:r>
      <w:proofErr w:type="spellStart"/>
      <w:r w:rsidRPr="004523D5">
        <w:rPr>
          <w:rFonts w:ascii="Times New Roman" w:hAnsi="Times New Roman" w:cs="Times New Roman"/>
          <w:color w:val="000000"/>
          <w:highlight w:val="lightGray"/>
        </w:rPr>
        <w:t>minimis</w:t>
      </w:r>
      <w:proofErr w:type="spellEnd"/>
      <w:r w:rsidRPr="004523D5">
        <w:rPr>
          <w:rFonts w:ascii="Times New Roman" w:hAnsi="Times New Roman" w:cs="Times New Roman"/>
          <w:color w:val="000000"/>
          <w:highlight w:val="lightGray"/>
        </w:rPr>
        <w:t xml:space="preserve"> potpore u </w:t>
      </w:r>
      <w:r w:rsidRPr="004523D5">
        <w:rPr>
          <w:rFonts w:ascii="Times New Roman" w:hAnsi="Times New Roman" w:cs="Times New Roman" w:hint="eastAsia"/>
          <w:color w:val="000000"/>
          <w:highlight w:val="lightGray"/>
        </w:rPr>
        <w:t>sektoru ribarstva i akvakulture</w:t>
      </w:r>
      <w:r w:rsidR="00E84328" w:rsidRPr="004523D5">
        <w:rPr>
          <w:rFonts w:ascii="Times New Roman" w:hAnsi="Times New Roman" w:cs="Times New Roman"/>
          <w:color w:val="000000"/>
          <w:highlight w:val="lightGray"/>
        </w:rPr>
        <w:t>,</w:t>
      </w:r>
    </w:p>
    <w:p w14:paraId="102D46DF" w14:textId="412A0284" w:rsidR="007C249E" w:rsidRPr="007C249E" w:rsidRDefault="007C249E" w:rsidP="007C24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4523D5">
        <w:rPr>
          <w:rFonts w:ascii="Times New Roman" w:hAnsi="Times New Roman" w:cs="Times New Roman"/>
          <w:color w:val="000000"/>
          <w:highlight w:val="lightGray"/>
        </w:rPr>
        <w:t xml:space="preserve">- </w:t>
      </w:r>
      <w:r w:rsidRPr="004523D5">
        <w:rPr>
          <w:rFonts w:ascii="Times New Roman" w:hAnsi="Times New Roman" w:cs="Times New Roman"/>
          <w:highlight w:val="lightGray"/>
        </w:rPr>
        <w:t xml:space="preserve">UREDBI KOMISIJE (EU) br. 1408/2013 od 18. prosinca 2013. primjeni članaka 107. i 108. Ugovora o funkcioniranju Europske unije na potpore de </w:t>
      </w:r>
      <w:proofErr w:type="spellStart"/>
      <w:r w:rsidRPr="004523D5">
        <w:rPr>
          <w:rFonts w:ascii="Times New Roman" w:hAnsi="Times New Roman" w:cs="Times New Roman"/>
          <w:highlight w:val="lightGray"/>
        </w:rPr>
        <w:t>minimis</w:t>
      </w:r>
      <w:proofErr w:type="spellEnd"/>
      <w:r w:rsidRPr="004523D5">
        <w:rPr>
          <w:rFonts w:ascii="Times New Roman" w:hAnsi="Times New Roman" w:cs="Times New Roman"/>
          <w:highlight w:val="lightGray"/>
        </w:rPr>
        <w:t xml:space="preserve"> u poljoprivrednom sektoru.</w:t>
      </w:r>
    </w:p>
    <w:p w14:paraId="14CA2ADD" w14:textId="77777777" w:rsidR="00C6057E" w:rsidRDefault="00C6057E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A2B72EF" w14:textId="13FABA4F" w:rsidR="00FE584C" w:rsidRPr="003F620D" w:rsidRDefault="00C6057E" w:rsidP="00C6057E">
      <w:pPr>
        <w:jc w:val="center"/>
        <w:rPr>
          <w:rFonts w:ascii="Times New Roman" w:hAnsi="Times New Roman" w:cs="Times New Roman"/>
          <w:b/>
          <w:color w:val="000000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>Prilozi</w:t>
      </w:r>
    </w:p>
    <w:p w14:paraId="02262EC7" w14:textId="0B0A5068" w:rsidR="00311E20" w:rsidRPr="003F620D" w:rsidRDefault="00E707D6" w:rsidP="00C6057E">
      <w:pPr>
        <w:jc w:val="center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b/>
          <w:bCs/>
          <w:color w:val="000000"/>
        </w:rPr>
        <w:t xml:space="preserve">Članak </w:t>
      </w:r>
      <w:r w:rsidR="009046E6" w:rsidRPr="003F620D">
        <w:rPr>
          <w:rFonts w:ascii="Times New Roman" w:hAnsi="Times New Roman" w:cs="Times New Roman"/>
          <w:b/>
          <w:bCs/>
          <w:color w:val="000000"/>
        </w:rPr>
        <w:t>10</w:t>
      </w:r>
      <w:r w:rsidR="00C6057E">
        <w:rPr>
          <w:rFonts w:ascii="Times New Roman" w:hAnsi="Times New Roman" w:cs="Times New Roman"/>
          <w:b/>
          <w:bCs/>
          <w:color w:val="000000"/>
        </w:rPr>
        <w:t>.</w:t>
      </w:r>
    </w:p>
    <w:p w14:paraId="0DDD4C68" w14:textId="7630E7E7" w:rsidR="00311E20" w:rsidRPr="003F620D" w:rsidRDefault="009046E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10.1</w:t>
      </w:r>
      <w:r w:rsidR="00E707D6" w:rsidRPr="003F620D">
        <w:rPr>
          <w:rFonts w:ascii="Times New Roman" w:hAnsi="Times New Roman" w:cs="Times New Roman"/>
          <w:color w:val="000000"/>
        </w:rPr>
        <w:t xml:space="preserve">. Sljedeći priloženi dokumenti čine sastavni dio </w:t>
      </w:r>
      <w:r w:rsidR="00C6057E">
        <w:rPr>
          <w:rFonts w:ascii="Times New Roman" w:hAnsi="Times New Roman" w:cs="Times New Roman"/>
          <w:color w:val="000000"/>
        </w:rPr>
        <w:t xml:space="preserve">ovog </w:t>
      </w:r>
      <w:r w:rsidR="00E707D6" w:rsidRPr="003F620D">
        <w:rPr>
          <w:rFonts w:ascii="Times New Roman" w:hAnsi="Times New Roman" w:cs="Times New Roman"/>
          <w:color w:val="000000"/>
        </w:rPr>
        <w:t>Ugovora:</w:t>
      </w:r>
    </w:p>
    <w:p w14:paraId="7DC8E987" w14:textId="78D8D532" w:rsidR="00311E20" w:rsidRPr="003F620D" w:rsidRDefault="00E707D6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Prilog I: prijava i proračun sajma u </w:t>
      </w:r>
      <w:r w:rsidR="009046E6" w:rsidRPr="003F620D">
        <w:rPr>
          <w:rFonts w:ascii="Times New Roman" w:hAnsi="Times New Roman" w:cs="Times New Roman"/>
          <w:color w:val="000000"/>
        </w:rPr>
        <w:t>obrascu</w:t>
      </w:r>
      <w:r w:rsidRPr="003F620D">
        <w:rPr>
          <w:rFonts w:ascii="Times New Roman" w:hAnsi="Times New Roman" w:cs="Times New Roman"/>
          <w:color w:val="000000"/>
        </w:rPr>
        <w:t>: JP sajmovi GKPP</w:t>
      </w:r>
    </w:p>
    <w:p w14:paraId="460FDD9F" w14:textId="67A67093" w:rsidR="00311E20" w:rsidRPr="003F620D" w:rsidRDefault="004303F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Prilog II</w:t>
      </w:r>
      <w:r w:rsidR="00E707D6" w:rsidRPr="003F620D">
        <w:rPr>
          <w:rFonts w:ascii="Times New Roman" w:hAnsi="Times New Roman" w:cs="Times New Roman"/>
          <w:color w:val="000000"/>
        </w:rPr>
        <w:t>: Obrazac ZNS sajmovi GKPP</w:t>
      </w:r>
    </w:p>
    <w:p w14:paraId="6D6D7AC2" w14:textId="78297650" w:rsidR="00F83643" w:rsidRPr="003F620D" w:rsidRDefault="004303FF" w:rsidP="008074FA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Prilog III</w:t>
      </w:r>
      <w:r w:rsidR="00F83643" w:rsidRPr="003F620D">
        <w:rPr>
          <w:rFonts w:ascii="Times New Roman" w:hAnsi="Times New Roman" w:cs="Times New Roman"/>
          <w:color w:val="000000"/>
        </w:rPr>
        <w:t xml:space="preserve">: </w:t>
      </w:r>
      <w:r w:rsidR="00F83643" w:rsidRPr="004523D5">
        <w:rPr>
          <w:rFonts w:ascii="Times New Roman" w:hAnsi="Times New Roman" w:cs="Times New Roman"/>
          <w:color w:val="000000"/>
          <w:highlight w:val="lightGray"/>
        </w:rPr>
        <w:t xml:space="preserve">Izjava - de </w:t>
      </w:r>
      <w:proofErr w:type="spellStart"/>
      <w:r w:rsidR="00F83643" w:rsidRPr="004523D5">
        <w:rPr>
          <w:rFonts w:ascii="Times New Roman" w:hAnsi="Times New Roman" w:cs="Times New Roman"/>
          <w:color w:val="000000"/>
          <w:highlight w:val="lightGray"/>
        </w:rPr>
        <w:t>minimis</w:t>
      </w:r>
      <w:proofErr w:type="spellEnd"/>
      <w:r w:rsidR="00F83643" w:rsidRPr="004523D5">
        <w:rPr>
          <w:rFonts w:ascii="Times New Roman" w:hAnsi="Times New Roman" w:cs="Times New Roman"/>
          <w:color w:val="000000"/>
          <w:highlight w:val="lightGray"/>
        </w:rPr>
        <w:t xml:space="preserve"> potpore(u poljoprivrednom sektoru</w:t>
      </w:r>
      <w:r w:rsidR="008074FA" w:rsidRPr="004523D5">
        <w:rPr>
          <w:rFonts w:ascii="Times New Roman" w:hAnsi="Times New Roman" w:cs="Times New Roman"/>
          <w:color w:val="000000"/>
          <w:highlight w:val="lightGray"/>
        </w:rPr>
        <w:t xml:space="preserve"> ili </w:t>
      </w:r>
      <w:r w:rsidR="008074FA" w:rsidRPr="004523D5">
        <w:rPr>
          <w:rFonts w:ascii="Times New Roman" w:hAnsi="Times New Roman" w:cs="Times New Roman" w:hint="eastAsia"/>
          <w:color w:val="000000"/>
          <w:highlight w:val="lightGray"/>
        </w:rPr>
        <w:t>u sektoru ribarstva i akvakulture</w:t>
      </w:r>
      <w:r w:rsidR="00F83643" w:rsidRPr="004523D5">
        <w:rPr>
          <w:rFonts w:ascii="Times New Roman" w:hAnsi="Times New Roman" w:cs="Times New Roman"/>
          <w:color w:val="000000"/>
          <w:highlight w:val="lightGray"/>
        </w:rPr>
        <w:t>)</w:t>
      </w:r>
    </w:p>
    <w:p w14:paraId="69B5FDA4" w14:textId="77777777" w:rsidR="00311E20" w:rsidRPr="003F620D" w:rsidRDefault="00311E20">
      <w:pPr>
        <w:jc w:val="both"/>
        <w:rPr>
          <w:rFonts w:ascii="Times New Roman" w:hAnsi="Times New Roman" w:cs="Times New Roman"/>
          <w:color w:val="000000"/>
        </w:rPr>
      </w:pPr>
      <w:bookmarkStart w:id="1" w:name="_GoBack"/>
      <w:bookmarkEnd w:id="1"/>
    </w:p>
    <w:p w14:paraId="05D07777" w14:textId="77777777" w:rsidR="00311E20" w:rsidRPr="003F620D" w:rsidRDefault="00311E20">
      <w:pPr>
        <w:jc w:val="both"/>
        <w:rPr>
          <w:rFonts w:ascii="Times New Roman" w:hAnsi="Times New Roman" w:cs="Times New Roman"/>
          <w:color w:val="000000"/>
        </w:rPr>
      </w:pPr>
    </w:p>
    <w:p w14:paraId="2983BF83" w14:textId="65C92F2C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KLASA:</w:t>
      </w:r>
      <w:r w:rsidR="00C36729">
        <w:rPr>
          <w:rFonts w:ascii="Times New Roman" w:hAnsi="Times New Roman" w:cs="Times New Roman"/>
          <w:color w:val="000000"/>
        </w:rPr>
        <w:t xml:space="preserve"> </w:t>
      </w:r>
    </w:p>
    <w:p w14:paraId="3E56CFAB" w14:textId="77777777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URBROJ:</w:t>
      </w:r>
    </w:p>
    <w:p w14:paraId="2369AD1D" w14:textId="40331D52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Korčul</w:t>
      </w:r>
      <w:r w:rsidR="00E84328">
        <w:rPr>
          <w:rFonts w:ascii="Times New Roman" w:hAnsi="Times New Roman" w:cs="Times New Roman"/>
          <w:color w:val="000000"/>
        </w:rPr>
        <w:t>a,______</w:t>
      </w:r>
      <w:r w:rsidRPr="003F620D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</w:t>
      </w:r>
    </w:p>
    <w:p w14:paraId="5F6EAF0E" w14:textId="77777777" w:rsidR="00E84328" w:rsidRDefault="00E84328">
      <w:pPr>
        <w:jc w:val="both"/>
        <w:rPr>
          <w:rFonts w:ascii="Times New Roman" w:hAnsi="Times New Roman" w:cs="Times New Roman"/>
          <w:color w:val="000000"/>
        </w:rPr>
      </w:pPr>
    </w:p>
    <w:p w14:paraId="2822EAC8" w14:textId="56DC2641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Za Grad Korčulu:                                                                                                </w:t>
      </w:r>
      <w:r w:rsidR="005C54C6">
        <w:rPr>
          <w:rFonts w:ascii="Times New Roman" w:hAnsi="Times New Roman" w:cs="Times New Roman"/>
          <w:color w:val="000000"/>
        </w:rPr>
        <w:t>P</w:t>
      </w:r>
      <w:r w:rsidRPr="003F620D">
        <w:rPr>
          <w:rFonts w:ascii="Times New Roman" w:hAnsi="Times New Roman" w:cs="Times New Roman"/>
          <w:color w:val="000000"/>
        </w:rPr>
        <w:t>oduzetnik:</w:t>
      </w:r>
    </w:p>
    <w:p w14:paraId="5E95CBCD" w14:textId="77777777" w:rsidR="00311E20" w:rsidRPr="003F620D" w:rsidRDefault="00311E20">
      <w:pPr>
        <w:jc w:val="both"/>
        <w:rPr>
          <w:rFonts w:ascii="Times New Roman" w:hAnsi="Times New Roman" w:cs="Times New Roman"/>
          <w:color w:val="000000"/>
        </w:rPr>
      </w:pPr>
    </w:p>
    <w:p w14:paraId="33B86CD0" w14:textId="77777777" w:rsidR="00311E20" w:rsidRPr="003F620D" w:rsidRDefault="00311E20">
      <w:pPr>
        <w:jc w:val="both"/>
        <w:rPr>
          <w:rFonts w:ascii="Times New Roman" w:hAnsi="Times New Roman" w:cs="Times New Roman"/>
          <w:color w:val="000000"/>
        </w:rPr>
      </w:pPr>
    </w:p>
    <w:p w14:paraId="45332C46" w14:textId="0AD02E2A" w:rsidR="00311E20" w:rsidRPr="003F620D" w:rsidRDefault="00E707D6" w:rsidP="005C54C6">
      <w:pPr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>___________________________</w:t>
      </w:r>
      <w:r w:rsidR="005C54C6">
        <w:rPr>
          <w:rFonts w:ascii="Times New Roman" w:hAnsi="Times New Roman" w:cs="Times New Roman"/>
          <w:color w:val="000000"/>
        </w:rPr>
        <w:t xml:space="preserve">__                                                                  ________________                                                                                     </w:t>
      </w:r>
      <w:r w:rsidRPr="003F620D">
        <w:rPr>
          <w:rFonts w:ascii="Times New Roman" w:hAnsi="Times New Roman" w:cs="Times New Roman"/>
          <w:color w:val="000000"/>
        </w:rPr>
        <w:t xml:space="preserve">                                                              </w:t>
      </w:r>
      <w:r w:rsidR="005C54C6">
        <w:rPr>
          <w:rFonts w:ascii="Times New Roman" w:hAnsi="Times New Roman" w:cs="Times New Roman"/>
          <w:color w:val="000000"/>
        </w:rPr>
        <w:t xml:space="preserve">                                                                            </w:t>
      </w:r>
    </w:p>
    <w:p w14:paraId="5736428F" w14:textId="0CE8BBDF" w:rsidR="00311E20" w:rsidRPr="003F620D" w:rsidRDefault="00E707D6">
      <w:pPr>
        <w:jc w:val="both"/>
        <w:rPr>
          <w:rFonts w:ascii="Times New Roman" w:hAnsi="Times New Roman" w:cs="Times New Roman"/>
        </w:rPr>
      </w:pPr>
      <w:r w:rsidRPr="003F620D">
        <w:rPr>
          <w:rFonts w:ascii="Times New Roman" w:hAnsi="Times New Roman" w:cs="Times New Roman"/>
          <w:color w:val="000000"/>
        </w:rPr>
        <w:t xml:space="preserve">Andrija </w:t>
      </w:r>
      <w:proofErr w:type="spellStart"/>
      <w:r w:rsidRPr="003F620D">
        <w:rPr>
          <w:rFonts w:ascii="Times New Roman" w:hAnsi="Times New Roman" w:cs="Times New Roman"/>
          <w:color w:val="000000"/>
        </w:rPr>
        <w:t>Fabris</w:t>
      </w:r>
      <w:proofErr w:type="spellEnd"/>
      <w:r w:rsidRPr="003F620D">
        <w:rPr>
          <w:rFonts w:ascii="Times New Roman" w:hAnsi="Times New Roman" w:cs="Times New Roman"/>
          <w:color w:val="000000"/>
        </w:rPr>
        <w:t>, ing.</w:t>
      </w:r>
      <w:r w:rsidR="0065157D">
        <w:rPr>
          <w:rFonts w:ascii="Times New Roman" w:hAnsi="Times New Roman" w:cs="Times New Roman"/>
          <w:color w:val="000000"/>
        </w:rPr>
        <w:t>, gradonačelnik</w:t>
      </w:r>
      <w:r w:rsidRPr="003F620D">
        <w:rPr>
          <w:rFonts w:ascii="Times New Roman" w:hAnsi="Times New Roman" w:cs="Times New Roman"/>
          <w:color w:val="000000"/>
        </w:rPr>
        <w:t xml:space="preserve">                         </w:t>
      </w:r>
      <w:r w:rsidR="005C54C6">
        <w:rPr>
          <w:rFonts w:ascii="Times New Roman" w:hAnsi="Times New Roman" w:cs="Times New Roman"/>
          <w:color w:val="000000"/>
        </w:rPr>
        <w:t xml:space="preserve">          </w:t>
      </w:r>
      <w:r w:rsidRPr="003F620D">
        <w:rPr>
          <w:rFonts w:ascii="Times New Roman" w:hAnsi="Times New Roman" w:cs="Times New Roman"/>
          <w:color w:val="000000"/>
        </w:rPr>
        <w:t xml:space="preserve">                                </w:t>
      </w:r>
      <w:r w:rsidR="00033346" w:rsidRPr="004523D5">
        <w:rPr>
          <w:rFonts w:ascii="Times New Roman" w:hAnsi="Times New Roman" w:cs="Times New Roman"/>
          <w:color w:val="000000"/>
          <w:highlight w:val="lightGray"/>
        </w:rPr>
        <w:t>Ime, p</w:t>
      </w:r>
      <w:r w:rsidRPr="004523D5">
        <w:rPr>
          <w:rFonts w:ascii="Times New Roman" w:hAnsi="Times New Roman" w:cs="Times New Roman"/>
          <w:color w:val="000000"/>
          <w:highlight w:val="lightGray"/>
        </w:rPr>
        <w:t>rezime</w:t>
      </w:r>
    </w:p>
    <w:p w14:paraId="57A44C94" w14:textId="77777777" w:rsidR="00311E20" w:rsidRPr="003F620D" w:rsidRDefault="00311E20">
      <w:pPr>
        <w:jc w:val="both"/>
        <w:rPr>
          <w:rFonts w:ascii="Times New Roman" w:hAnsi="Times New Roman" w:cs="Times New Roman"/>
        </w:rPr>
      </w:pPr>
    </w:p>
    <w:sectPr w:rsidR="00311E20" w:rsidRPr="003F620D">
      <w:footerReference w:type="default" r:id="rId14"/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66C0B" w14:textId="77777777" w:rsidR="00CC480E" w:rsidRDefault="00CC480E" w:rsidP="00CB514C">
      <w:pPr>
        <w:rPr>
          <w:rFonts w:hint="eastAsia"/>
        </w:rPr>
      </w:pPr>
      <w:r>
        <w:separator/>
      </w:r>
    </w:p>
  </w:endnote>
  <w:endnote w:type="continuationSeparator" w:id="0">
    <w:p w14:paraId="5B9DEF62" w14:textId="77777777" w:rsidR="00CC480E" w:rsidRDefault="00CC480E" w:rsidP="00CB51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38870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A0F3F3" w14:textId="77777777" w:rsidR="00CB514C" w:rsidRDefault="00CB514C" w:rsidP="00CB514C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3FF">
          <w:rPr>
            <w:rFonts w:hint="eastAsia"/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5BB8545" w14:textId="77777777" w:rsidR="00CB514C" w:rsidRDefault="00CB514C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127B3" w14:textId="77777777" w:rsidR="00CC480E" w:rsidRDefault="00CC480E" w:rsidP="00CB514C">
      <w:pPr>
        <w:rPr>
          <w:rFonts w:hint="eastAsia"/>
        </w:rPr>
      </w:pPr>
      <w:r>
        <w:separator/>
      </w:r>
    </w:p>
  </w:footnote>
  <w:footnote w:type="continuationSeparator" w:id="0">
    <w:p w14:paraId="23E6FE75" w14:textId="77777777" w:rsidR="00CC480E" w:rsidRDefault="00CC480E" w:rsidP="00CB514C">
      <w:pPr>
        <w:rPr>
          <w:rFonts w:hint="eastAsia"/>
        </w:rPr>
      </w:pPr>
      <w:r>
        <w:continuationSeparator/>
      </w:r>
    </w:p>
  </w:footnote>
  <w:footnote w:id="1">
    <w:p w14:paraId="5BA68515" w14:textId="77777777" w:rsidR="00C6057E" w:rsidRDefault="00C6057E" w:rsidP="00C6057E">
      <w:pPr>
        <w:pStyle w:val="FootnoteText"/>
        <w:rPr>
          <w:rFonts w:hint="eastAsia"/>
        </w:rPr>
      </w:pPr>
      <w:r>
        <w:rPr>
          <w:rStyle w:val="FootnoteReference"/>
          <w:rFonts w:hint="eastAsia"/>
        </w:rPr>
        <w:footnoteRef/>
      </w:r>
      <w:r>
        <w:rPr>
          <w:rFonts w:hint="eastAsia"/>
        </w:rPr>
        <w:t xml:space="preserve"> </w:t>
      </w:r>
      <w:r>
        <w:t xml:space="preserve">Ukupne potpore </w:t>
      </w:r>
      <w:r w:rsidRPr="00AE2FD8">
        <w:t xml:space="preserve">male vrijednosti u predmetnoj fiskalnoj godini te tijekom </w:t>
      </w:r>
      <w:r>
        <w:t xml:space="preserve">prethodne dvije fiskalne godine </w:t>
      </w:r>
      <w:r w:rsidRPr="00AE2FD8">
        <w:t>ne smij</w:t>
      </w:r>
      <w:r>
        <w:t>u</w:t>
      </w:r>
    </w:p>
    <w:p w14:paraId="1E4C5424" w14:textId="77777777" w:rsidR="00C6057E" w:rsidRDefault="00C6057E" w:rsidP="00C6057E">
      <w:pPr>
        <w:pStyle w:val="FootnoteText"/>
        <w:rPr>
          <w:rFonts w:hint="eastAsia"/>
        </w:rPr>
      </w:pPr>
      <w:r>
        <w:t>biti veća od 200</w:t>
      </w:r>
      <w:r w:rsidRPr="00AE2FD8">
        <w:t>.000 EUR</w:t>
      </w:r>
      <w:r>
        <w:t xml:space="preserve">, 30.000 EUR u </w:t>
      </w:r>
      <w:r>
        <w:rPr>
          <w:rFonts w:hint="eastAsia"/>
        </w:rPr>
        <w:t>sektoru ribarstva i akvakulture</w:t>
      </w:r>
      <w:r>
        <w:t xml:space="preserve">, 15.000 EUR u poljoprivrednom sektoru. Izvor: </w:t>
      </w:r>
      <w:r w:rsidRPr="00EE6363">
        <w:rPr>
          <w:rFonts w:hint="eastAsia"/>
        </w:rPr>
        <w:t>http://eur-lex.europa.eu</w:t>
      </w:r>
    </w:p>
    <w:p w14:paraId="7144B6ED" w14:textId="77777777" w:rsidR="00C6057E" w:rsidRDefault="00C6057E" w:rsidP="00C6057E">
      <w:pPr>
        <w:pStyle w:val="FootnoteText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1302F"/>
    <w:multiLevelType w:val="multilevel"/>
    <w:tmpl w:val="4AF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1">
    <w:nsid w:val="2BE075FF"/>
    <w:multiLevelType w:val="multilevel"/>
    <w:tmpl w:val="2572DF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D6548A5"/>
    <w:multiLevelType w:val="multilevel"/>
    <w:tmpl w:val="656A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3">
    <w:nsid w:val="36EA75A6"/>
    <w:multiLevelType w:val="multilevel"/>
    <w:tmpl w:val="471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4">
    <w:nsid w:val="43E30CF5"/>
    <w:multiLevelType w:val="hybridMultilevel"/>
    <w:tmpl w:val="AC4683B8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51B5F"/>
    <w:multiLevelType w:val="multilevel"/>
    <w:tmpl w:val="A5A8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6">
    <w:nsid w:val="482D28AC"/>
    <w:multiLevelType w:val="multilevel"/>
    <w:tmpl w:val="1B98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sz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 w:val="0"/>
        <w:sz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 w:val="0"/>
        <w:sz w:val="22"/>
      </w:rPr>
    </w:lvl>
  </w:abstractNum>
  <w:abstractNum w:abstractNumId="7">
    <w:nsid w:val="5489431F"/>
    <w:multiLevelType w:val="multilevel"/>
    <w:tmpl w:val="8FD0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8">
    <w:nsid w:val="58336795"/>
    <w:multiLevelType w:val="multilevel"/>
    <w:tmpl w:val="1C0A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9">
    <w:nsid w:val="5BB43F3E"/>
    <w:multiLevelType w:val="multilevel"/>
    <w:tmpl w:val="E8D4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20"/>
    <w:rsid w:val="00033346"/>
    <w:rsid w:val="000D2FEC"/>
    <w:rsid w:val="00100A1A"/>
    <w:rsid w:val="001015FC"/>
    <w:rsid w:val="00147EEF"/>
    <w:rsid w:val="001960B8"/>
    <w:rsid w:val="002169CA"/>
    <w:rsid w:val="002C0F53"/>
    <w:rsid w:val="002D31E0"/>
    <w:rsid w:val="002F073A"/>
    <w:rsid w:val="00311E20"/>
    <w:rsid w:val="00333774"/>
    <w:rsid w:val="00335490"/>
    <w:rsid w:val="00345EA6"/>
    <w:rsid w:val="003501D1"/>
    <w:rsid w:val="0037757A"/>
    <w:rsid w:val="003F620D"/>
    <w:rsid w:val="00416E84"/>
    <w:rsid w:val="00425433"/>
    <w:rsid w:val="004303FF"/>
    <w:rsid w:val="004523D5"/>
    <w:rsid w:val="004B1A5D"/>
    <w:rsid w:val="004C586D"/>
    <w:rsid w:val="004D6424"/>
    <w:rsid w:val="00555BEF"/>
    <w:rsid w:val="0056662F"/>
    <w:rsid w:val="005832FA"/>
    <w:rsid w:val="005A200C"/>
    <w:rsid w:val="005C0167"/>
    <w:rsid w:val="005C54C6"/>
    <w:rsid w:val="005F38C9"/>
    <w:rsid w:val="0065157D"/>
    <w:rsid w:val="006B0BAD"/>
    <w:rsid w:val="0071484F"/>
    <w:rsid w:val="00767428"/>
    <w:rsid w:val="007B6842"/>
    <w:rsid w:val="007C249E"/>
    <w:rsid w:val="008074FA"/>
    <w:rsid w:val="008D0D55"/>
    <w:rsid w:val="009046E6"/>
    <w:rsid w:val="009B35EF"/>
    <w:rsid w:val="009C2938"/>
    <w:rsid w:val="00A3564E"/>
    <w:rsid w:val="00B87304"/>
    <w:rsid w:val="00BB1DA2"/>
    <w:rsid w:val="00BD785D"/>
    <w:rsid w:val="00C31E5A"/>
    <w:rsid w:val="00C36729"/>
    <w:rsid w:val="00C6057E"/>
    <w:rsid w:val="00CB0873"/>
    <w:rsid w:val="00CB514C"/>
    <w:rsid w:val="00CC480E"/>
    <w:rsid w:val="00D07386"/>
    <w:rsid w:val="00D1495E"/>
    <w:rsid w:val="00DB15BC"/>
    <w:rsid w:val="00DC4D7D"/>
    <w:rsid w:val="00E510CB"/>
    <w:rsid w:val="00E707D6"/>
    <w:rsid w:val="00E84328"/>
    <w:rsid w:val="00EA7EAE"/>
    <w:rsid w:val="00EB502C"/>
    <w:rsid w:val="00F03559"/>
    <w:rsid w:val="00F57FD5"/>
    <w:rsid w:val="00F83643"/>
    <w:rsid w:val="00FE584C"/>
    <w:rsid w:val="00F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85568"/>
  <w15:docId w15:val="{BEF3B26C-E0FC-4FAC-9720-55C41B45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hr-B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  <w:lang w:val="hr-HR"/>
    </w:rPr>
  </w:style>
  <w:style w:type="paragraph" w:styleId="Heading1">
    <w:name w:val="heading 1"/>
    <w:basedOn w:val="Heading"/>
    <w:qFormat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qFormat/>
    <w:rPr>
      <w:rFonts w:ascii="Calibri" w:hAnsi="Calibri" w:cs="OpenSymbol"/>
      <w:b w:val="0"/>
      <w:sz w:val="22"/>
    </w:rPr>
  </w:style>
  <w:style w:type="character" w:customStyle="1" w:styleId="ListLabel2">
    <w:name w:val="ListLabel 2"/>
    <w:qFormat/>
    <w:rPr>
      <w:rFonts w:ascii="Calibri" w:hAnsi="Calibri" w:cs="OpenSymbol"/>
      <w:b w:val="0"/>
      <w:sz w:val="22"/>
    </w:rPr>
  </w:style>
  <w:style w:type="character" w:customStyle="1" w:styleId="ListLabel3">
    <w:name w:val="ListLabel 3"/>
    <w:qFormat/>
    <w:rPr>
      <w:rFonts w:ascii="Calibri" w:hAnsi="Calibri" w:cs="Symbol"/>
      <w:sz w:val="22"/>
    </w:rPr>
  </w:style>
  <w:style w:type="character" w:customStyle="1" w:styleId="ListLabel4">
    <w:name w:val="ListLabel 4"/>
    <w:qFormat/>
    <w:rPr>
      <w:rFonts w:ascii="Calibri" w:hAnsi="Calibri" w:cs="OpenSymbol"/>
      <w:b w:val="0"/>
      <w:sz w:val="22"/>
    </w:rPr>
  </w:style>
  <w:style w:type="character" w:customStyle="1" w:styleId="ListLabel5">
    <w:name w:val="ListLabel 5"/>
    <w:qFormat/>
    <w:rPr>
      <w:rFonts w:ascii="Calibri" w:hAnsi="Calibri" w:cs="OpenSymbol"/>
      <w:b w:val="0"/>
      <w:sz w:val="22"/>
    </w:rPr>
  </w:style>
  <w:style w:type="character" w:customStyle="1" w:styleId="ListLabel6">
    <w:name w:val="ListLabel 6"/>
    <w:qFormat/>
    <w:rPr>
      <w:rFonts w:ascii="Calibri" w:hAnsi="Calibri" w:cs="Symbol"/>
      <w:sz w:val="22"/>
    </w:rPr>
  </w:style>
  <w:style w:type="character" w:customStyle="1" w:styleId="ListLabel7">
    <w:name w:val="ListLabel 7"/>
    <w:qFormat/>
    <w:rPr>
      <w:rFonts w:ascii="Calibri" w:hAnsi="Calibri" w:cs="OpenSymbol"/>
      <w:b w:val="0"/>
      <w:sz w:val="22"/>
    </w:rPr>
  </w:style>
  <w:style w:type="character" w:customStyle="1" w:styleId="ListLabel8">
    <w:name w:val="ListLabel 8"/>
    <w:qFormat/>
    <w:rPr>
      <w:rFonts w:ascii="Calibri" w:hAnsi="Calibri" w:cs="Symbol"/>
      <w:sz w:val="22"/>
    </w:rPr>
  </w:style>
  <w:style w:type="character" w:customStyle="1" w:styleId="ListLabel9">
    <w:name w:val="ListLabel 9"/>
    <w:qFormat/>
    <w:rPr>
      <w:rFonts w:ascii="Calibri" w:hAnsi="Calibri" w:cs="OpenSymbol"/>
      <w:b w:val="0"/>
      <w:sz w:val="22"/>
    </w:rPr>
  </w:style>
  <w:style w:type="character" w:customStyle="1" w:styleId="ListLabel10">
    <w:name w:val="ListLabel 10"/>
    <w:qFormat/>
    <w:rPr>
      <w:rFonts w:ascii="Calibri" w:hAnsi="Calibri" w:cs="Symbol"/>
      <w:b w:val="0"/>
      <w:sz w:val="22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qFormat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A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14C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14C"/>
    <w:rPr>
      <w:rFonts w:ascii="Segoe UI" w:hAnsi="Segoe UI"/>
      <w:color w:val="00000A"/>
      <w:sz w:val="18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CB514C"/>
    <w:rPr>
      <w:color w:val="00000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CB514C"/>
    <w:rPr>
      <w:color w:val="00000A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584C"/>
    <w:rPr>
      <w:sz w:val="20"/>
      <w:szCs w:val="18"/>
      <w:lang w:val="hr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584C"/>
    <w:rPr>
      <w:color w:val="00000A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FE584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8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86D"/>
    <w:rPr>
      <w:b/>
      <w:bCs/>
      <w:color w:val="00000A"/>
      <w:szCs w:val="18"/>
      <w:lang w:val="hr-HR"/>
    </w:rPr>
  </w:style>
  <w:style w:type="paragraph" w:styleId="ListParagraph">
    <w:name w:val="List Paragraph"/>
    <w:basedOn w:val="Normal"/>
    <w:uiPriority w:val="34"/>
    <w:qFormat/>
    <w:rsid w:val="008D0D5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13EE9-AAB2-4BC0-801E-52766C81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1603</Words>
  <Characters>9140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23</cp:revision>
  <dcterms:created xsi:type="dcterms:W3CDTF">2015-11-06T07:15:00Z</dcterms:created>
  <dcterms:modified xsi:type="dcterms:W3CDTF">2015-11-10T11:38:00Z</dcterms:modified>
  <dc:language>hr-BA</dc:language>
</cp:coreProperties>
</file>